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961"/>
        <w:tblW w:w="9735" w:type="dxa"/>
        <w:tblLayout w:type="fixed"/>
        <w:tblLook w:val="04A0" w:firstRow="1" w:lastRow="0" w:firstColumn="1" w:lastColumn="0" w:noHBand="0" w:noVBand="1"/>
      </w:tblPr>
      <w:tblGrid>
        <w:gridCol w:w="5777"/>
        <w:gridCol w:w="3958"/>
      </w:tblGrid>
      <w:tr w:rsidR="005D1C8C" w:rsidTr="005E3068">
        <w:trPr>
          <w:trHeight w:val="2274"/>
        </w:trPr>
        <w:tc>
          <w:tcPr>
            <w:tcW w:w="5778" w:type="dxa"/>
          </w:tcPr>
          <w:p w:rsidR="005D1C8C" w:rsidRDefault="005D1C8C" w:rsidP="005D1C8C">
            <w:pPr>
              <w:pStyle w:val="Tre0"/>
              <w:ind w:left="5727"/>
            </w:pPr>
            <w:permStart w:id="1246692133" w:edGrp="everyone"/>
          </w:p>
          <w:p w:rsidR="005D1C8C" w:rsidRDefault="005D1C8C" w:rsidP="005D1C8C">
            <w:pPr>
              <w:pStyle w:val="Tre0"/>
              <w:ind w:left="5727"/>
            </w:pPr>
          </w:p>
          <w:p w:rsidR="005D1C8C" w:rsidRDefault="005D1C8C" w:rsidP="005D1C8C">
            <w:pPr>
              <w:pStyle w:val="Tre0"/>
              <w:ind w:left="5727"/>
            </w:pPr>
          </w:p>
          <w:permEnd w:id="1246692133"/>
          <w:p w:rsidR="005D1C8C" w:rsidRDefault="005D1C8C" w:rsidP="005D1C8C">
            <w:pPr>
              <w:pStyle w:val="Normalny1"/>
              <w:spacing w:line="268" w:lineRule="exact"/>
              <w:ind w:left="5727"/>
              <w:jc w:val="right"/>
              <w:rPr>
                <w:rFonts w:ascii="Times" w:hAnsi="Times"/>
              </w:rPr>
            </w:pPr>
          </w:p>
          <w:p w:rsidR="005D1C8C" w:rsidRDefault="005D1C8C" w:rsidP="005D1C8C">
            <w:pPr>
              <w:pStyle w:val="Normalny1"/>
              <w:spacing w:line="268" w:lineRule="exact"/>
              <w:ind w:left="5727"/>
              <w:jc w:val="right"/>
              <w:rPr>
                <w:rFonts w:ascii="Times" w:hAnsi="Times"/>
              </w:rPr>
            </w:pPr>
          </w:p>
          <w:p w:rsidR="005D1C8C" w:rsidRDefault="005D1C8C" w:rsidP="005D1C8C">
            <w:pPr>
              <w:pStyle w:val="Normalny1"/>
              <w:spacing w:line="268" w:lineRule="exact"/>
              <w:jc w:val="right"/>
              <w:rPr>
                <w:rFonts w:ascii="Times" w:hAnsi="Times"/>
              </w:rPr>
            </w:pPr>
          </w:p>
        </w:tc>
        <w:tc>
          <w:tcPr>
            <w:tcW w:w="3959" w:type="dxa"/>
            <w:tcMar>
              <w:top w:w="0" w:type="dxa"/>
              <w:left w:w="28" w:type="dxa"/>
              <w:bottom w:w="0" w:type="dxa"/>
              <w:right w:w="0" w:type="dxa"/>
            </w:tcMar>
          </w:tcPr>
          <w:p w:rsidR="005D1C8C" w:rsidRPr="006F5CE2" w:rsidRDefault="005D1C8C" w:rsidP="005D1C8C">
            <w:pPr>
              <w:pStyle w:val="Tre0"/>
            </w:pPr>
            <w:r w:rsidRPr="006F5CE2">
              <w:t xml:space="preserve">Katowice, </w:t>
            </w:r>
            <w:r w:rsidR="00827C9D">
              <w:t>29 marca 2024 r.</w:t>
            </w:r>
          </w:p>
          <w:p w:rsidR="005D1C8C" w:rsidRPr="006F5CE2" w:rsidRDefault="005D1C8C" w:rsidP="005D1C8C">
            <w:pPr>
              <w:pStyle w:val="Tre0"/>
            </w:pPr>
          </w:p>
          <w:p w:rsidR="005D1C8C" w:rsidRDefault="005D1C8C" w:rsidP="005D1C8C">
            <w:pPr>
              <w:pStyle w:val="Normalny1"/>
              <w:spacing w:line="268" w:lineRule="exact"/>
              <w:ind w:left="136"/>
              <w:jc w:val="right"/>
              <w:rPr>
                <w:rFonts w:ascii="Times" w:hAnsi="Times"/>
              </w:rPr>
            </w:pPr>
          </w:p>
          <w:p w:rsidR="005D1C8C" w:rsidRDefault="005D1C8C" w:rsidP="005D1C8C">
            <w:pPr>
              <w:pStyle w:val="Normalny1"/>
              <w:spacing w:line="268" w:lineRule="exact"/>
              <w:ind w:left="136"/>
              <w:jc w:val="right"/>
              <w:rPr>
                <w:rFonts w:ascii="Times" w:hAnsi="Times"/>
              </w:rPr>
            </w:pPr>
          </w:p>
        </w:tc>
      </w:tr>
      <w:tr w:rsidR="005D1C8C" w:rsidTr="005E3068">
        <w:trPr>
          <w:trHeight w:val="1554"/>
        </w:trPr>
        <w:tc>
          <w:tcPr>
            <w:tcW w:w="5778" w:type="dxa"/>
          </w:tcPr>
          <w:p w:rsidR="005D1C8C" w:rsidRDefault="005D1C8C" w:rsidP="005D1C8C">
            <w:pPr>
              <w:pStyle w:val="TreBold"/>
              <w:ind w:left="5727"/>
            </w:pPr>
            <w:permStart w:id="456197570" w:edGrp="everyone"/>
          </w:p>
          <w:p w:rsidR="005D1C8C" w:rsidRDefault="005D1C8C" w:rsidP="005D1C8C">
            <w:pPr>
              <w:pStyle w:val="TreBold"/>
              <w:ind w:left="5727"/>
            </w:pPr>
          </w:p>
          <w:p w:rsidR="005D1C8C" w:rsidRDefault="005D1C8C" w:rsidP="001B5453">
            <w:pPr>
              <w:pStyle w:val="TreBold"/>
              <w:tabs>
                <w:tab w:val="left" w:pos="5561"/>
              </w:tabs>
              <w:ind w:left="5727"/>
            </w:pPr>
          </w:p>
          <w:permEnd w:id="456197570"/>
          <w:p w:rsidR="005D1C8C" w:rsidRDefault="005D1C8C" w:rsidP="005D1C8C">
            <w:pPr>
              <w:pStyle w:val="TreBold"/>
            </w:pPr>
          </w:p>
        </w:tc>
        <w:tc>
          <w:tcPr>
            <w:tcW w:w="3959" w:type="dxa"/>
            <w:tcMar>
              <w:top w:w="0" w:type="dxa"/>
              <w:left w:w="28" w:type="dxa"/>
              <w:bottom w:w="0" w:type="dxa"/>
              <w:right w:w="0" w:type="dxa"/>
            </w:tcMar>
          </w:tcPr>
          <w:p w:rsidR="005D1C8C" w:rsidRDefault="005D1C8C" w:rsidP="00827C9D">
            <w:pPr>
              <w:pStyle w:val="TreBold"/>
            </w:pPr>
          </w:p>
          <w:p w:rsidR="00F941E8" w:rsidRDefault="00F941E8" w:rsidP="00827C9D">
            <w:pPr>
              <w:pStyle w:val="TreBold"/>
            </w:pPr>
          </w:p>
          <w:p w:rsidR="00F941E8" w:rsidRDefault="00F941E8" w:rsidP="00827C9D">
            <w:pPr>
              <w:pStyle w:val="TreBold"/>
            </w:pPr>
          </w:p>
        </w:tc>
      </w:tr>
    </w:tbl>
    <w:p w:rsidR="005D1C8C" w:rsidRDefault="005D1C8C" w:rsidP="005D1C8C">
      <w:pPr>
        <w:pStyle w:val="TreBold"/>
      </w:pPr>
    </w:p>
    <w:p w:rsidR="0065785B" w:rsidRDefault="0065785B" w:rsidP="005D1C8C">
      <w:pPr>
        <w:pStyle w:val="TreBold"/>
      </w:pPr>
    </w:p>
    <w:p w:rsidR="00F941E8" w:rsidRPr="00F941E8" w:rsidRDefault="00827C9D" w:rsidP="00F941E8">
      <w:pPr>
        <w:pStyle w:val="Nagwek1"/>
        <w:spacing w:after="480"/>
        <w:rPr>
          <w:rFonts w:ascii="Arial" w:hAnsi="Arial" w:cs="Arial"/>
          <w:b/>
          <w:sz w:val="24"/>
          <w:szCs w:val="24"/>
        </w:rPr>
      </w:pPr>
      <w:r w:rsidRPr="009C5227">
        <w:rPr>
          <w:rStyle w:val="Wyrnienieintensywne"/>
          <w:rFonts w:cs="Arial"/>
          <w:b/>
          <w:iCs w:val="0"/>
          <w:color w:val="365F91" w:themeColor="accent1" w:themeShade="BF"/>
          <w:szCs w:val="24"/>
        </w:rPr>
        <w:t>Stanowisko Instytucji Zarządzającej</w:t>
      </w:r>
    </w:p>
    <w:p w:rsidR="00827C9D" w:rsidRDefault="00827C9D" w:rsidP="00F941E8">
      <w:pPr>
        <w:spacing w:before="360" w:line="276" w:lineRule="auto"/>
        <w:rPr>
          <w:rFonts w:cs="Arial"/>
          <w:color w:val="000000"/>
        </w:rPr>
      </w:pPr>
      <w:r>
        <w:rPr>
          <w:rFonts w:cs="Arial"/>
          <w:color w:val="000000"/>
        </w:rPr>
        <w:t>P</w:t>
      </w:r>
      <w:r>
        <w:rPr>
          <w:rFonts w:cs="Arial"/>
          <w:color w:val="000000"/>
        </w:rPr>
        <w:t xml:space="preserve">odczas czynności kontrolnych nadal stwierdzamy przypadki nieprawidłowego stosowania zapisów art. 99 ust. 5 oraz 101 ust. 4 ustawy </w:t>
      </w:r>
      <w:r w:rsidR="00A56D38">
        <w:rPr>
          <w:rFonts w:cs="Arial"/>
          <w:color w:val="000000"/>
        </w:rPr>
        <w:br/>
      </w:r>
      <w:r>
        <w:rPr>
          <w:rFonts w:cs="Arial"/>
          <w:color w:val="000000"/>
        </w:rPr>
        <w:t>z dnia 11 września 2019 Prawo zamówień publicznych (</w:t>
      </w:r>
      <w:proofErr w:type="spellStart"/>
      <w:r>
        <w:rPr>
          <w:rFonts w:cs="Arial"/>
          <w:color w:val="000000"/>
        </w:rPr>
        <w:t>t.j</w:t>
      </w:r>
      <w:proofErr w:type="spellEnd"/>
      <w:r>
        <w:rPr>
          <w:rFonts w:cs="Arial"/>
          <w:color w:val="000000"/>
        </w:rPr>
        <w:t xml:space="preserve">. Dz.U. z 2023r. poz. 1605 dalej </w:t>
      </w:r>
      <w:proofErr w:type="spellStart"/>
      <w:r>
        <w:rPr>
          <w:rFonts w:cs="Arial"/>
          <w:color w:val="000000"/>
        </w:rPr>
        <w:t>Pzp</w:t>
      </w:r>
      <w:proofErr w:type="spellEnd"/>
      <w:r>
        <w:rPr>
          <w:rFonts w:cs="Arial"/>
          <w:color w:val="000000"/>
        </w:rPr>
        <w:t>). Chc</w:t>
      </w:r>
      <w:r w:rsidR="0065785B">
        <w:rPr>
          <w:rFonts w:cs="Arial"/>
          <w:color w:val="000000"/>
        </w:rPr>
        <w:t>emy</w:t>
      </w:r>
      <w:r>
        <w:rPr>
          <w:rFonts w:cs="Arial"/>
          <w:color w:val="000000"/>
        </w:rPr>
        <w:t xml:space="preserve"> w tym miejscu zwrócić uwagę na istotne zagadnienia związane z prawidłowym opisem przedmiotu zamówienia.</w:t>
      </w:r>
      <w:bookmarkStart w:id="0" w:name="_GoBack"/>
      <w:bookmarkEnd w:id="0"/>
    </w:p>
    <w:p w:rsidR="00827C9D" w:rsidRDefault="00827C9D" w:rsidP="00827C9D">
      <w:pPr>
        <w:spacing w:before="120" w:line="276" w:lineRule="auto"/>
        <w:rPr>
          <w:rFonts w:cs="Arial"/>
          <w:color w:val="000000"/>
        </w:rPr>
      </w:pPr>
      <w:r>
        <w:rPr>
          <w:rFonts w:cs="Arial"/>
          <w:color w:val="000000"/>
        </w:rPr>
        <w:t xml:space="preserve">Misja audytowa KE nr REGC414PL0172, przeprowadzona w październiku 2019 r. w swoim raporcie wskazała ustalenia </w:t>
      </w:r>
      <w:r>
        <w:rPr>
          <w:rFonts w:cs="Arial"/>
        </w:rPr>
        <w:t>d</w:t>
      </w:r>
      <w:r>
        <w:rPr>
          <w:rFonts w:cs="Arial"/>
          <w:color w:val="000000"/>
        </w:rPr>
        <w:t>otyczące przypadków, gdy specyfikacja techniczna zawierała odwołania do norm krajowych (również tych wprowadzających normy europejskie) bez użycia wyrażenia „lub równoważne”.</w:t>
      </w:r>
    </w:p>
    <w:p w:rsidR="00827C9D" w:rsidRDefault="00827C9D" w:rsidP="00827C9D">
      <w:pPr>
        <w:spacing w:before="120" w:line="276" w:lineRule="auto"/>
        <w:rPr>
          <w:rFonts w:cs="Arial"/>
        </w:rPr>
      </w:pPr>
      <w:r>
        <w:rPr>
          <w:rFonts w:cs="Arial"/>
        </w:rPr>
        <w:t xml:space="preserve">Dokumenty zamówienia, a szczególnie te opisujące przedmiot zamówienia winny spełniać warunki określone w art. 42 i art. 18 ust. 1 Dyrektywy Parlamentu Europejskiego i Rady 2014/24/UE z dnia 26 lutego 2014 r. w sprawie zamówień publicznych, uchylającą dyrektywę 2004/18/WE (Dz. Urz. UE L 94 z 28.3.2014 r., str. 65, z </w:t>
      </w:r>
      <w:proofErr w:type="spellStart"/>
      <w:r>
        <w:rPr>
          <w:rFonts w:cs="Arial"/>
        </w:rPr>
        <w:t>późn</w:t>
      </w:r>
      <w:proofErr w:type="spellEnd"/>
      <w:r>
        <w:rPr>
          <w:rFonts w:cs="Arial"/>
        </w:rPr>
        <w:t xml:space="preserve">. zm.) lub art. 60 Dyrektywy Parlamentu Europejskiego i Rady 2014/25/UE z dnia 26 lutego 2014 r. w sprawie udzielania zamówień przez podmioty działające w sektorach gospodarki wodnej, energetyki, transportu i usług pocztowych, uchylająca dyrektywę 2004/17/WE (Dz. Urz. UE L 94 z 28.3.2014 r., str. 243, z </w:t>
      </w:r>
      <w:proofErr w:type="spellStart"/>
      <w:r>
        <w:rPr>
          <w:rFonts w:cs="Arial"/>
        </w:rPr>
        <w:t>późn</w:t>
      </w:r>
      <w:proofErr w:type="spellEnd"/>
      <w:r>
        <w:rPr>
          <w:rFonts w:cs="Arial"/>
        </w:rPr>
        <w:t>. zm.) dotyczących stosowania specyfikacji technicznych.</w:t>
      </w:r>
    </w:p>
    <w:p w:rsidR="00827C9D" w:rsidRDefault="00827C9D" w:rsidP="00827C9D">
      <w:pPr>
        <w:spacing w:before="120" w:line="276" w:lineRule="auto"/>
        <w:rPr>
          <w:rFonts w:cs="Arial"/>
          <w:i/>
          <w:iCs/>
        </w:rPr>
      </w:pPr>
      <w:r>
        <w:rPr>
          <w:rFonts w:cs="Arial"/>
        </w:rPr>
        <w:t xml:space="preserve">Zgodnie z art. 42 ust. 3 dyrektywy 2014/24/UE </w:t>
      </w:r>
      <w:r>
        <w:rPr>
          <w:rFonts w:cs="Arial"/>
          <w:i/>
          <w:iCs/>
        </w:rPr>
        <w:t>„Bez uszczerbku dla wiążących krajowych przepisów technicznych, w zakresie, w jakim są one zgodne z prawem unijnym, specyfikacje techniczne formułuje się w jeden z poniższych sposobów:</w:t>
      </w:r>
    </w:p>
    <w:p w:rsidR="00827C9D" w:rsidRDefault="00827C9D" w:rsidP="00827C9D">
      <w:pPr>
        <w:numPr>
          <w:ilvl w:val="0"/>
          <w:numId w:val="2"/>
        </w:numPr>
        <w:spacing w:line="276" w:lineRule="auto"/>
        <w:rPr>
          <w:rFonts w:eastAsia="Times New Roman" w:cs="Arial"/>
          <w:i/>
          <w:iCs/>
        </w:rPr>
      </w:pPr>
      <w:r>
        <w:rPr>
          <w:rFonts w:eastAsia="Times New Roman" w:cs="Arial"/>
          <w:i/>
          <w:iCs/>
        </w:rPr>
        <w:t>(…)</w:t>
      </w:r>
    </w:p>
    <w:p w:rsidR="00827C9D" w:rsidRDefault="00827C9D" w:rsidP="00827C9D">
      <w:pPr>
        <w:numPr>
          <w:ilvl w:val="0"/>
          <w:numId w:val="2"/>
        </w:numPr>
        <w:spacing w:line="276" w:lineRule="auto"/>
        <w:rPr>
          <w:rFonts w:eastAsia="Times New Roman" w:cs="Arial"/>
          <w:i/>
          <w:iCs/>
        </w:rPr>
      </w:pPr>
      <w:r w:rsidRPr="000C555D">
        <w:rPr>
          <w:rFonts w:eastAsia="Times New Roman" w:cs="Arial"/>
          <w:i/>
          <w:iCs/>
        </w:rPr>
        <w:t xml:space="preserve">poprzez odniesienie do specyfikacji technicznych oraz, w kolejności preferencji do: norm krajowych przenoszących normy europejskie, europejskich ocen technicznych, wspólnych specyfikacji technicznych, norm międzynarodowych, innych systemów referencji technicznych ustanowionych przez </w:t>
      </w:r>
      <w:r w:rsidRPr="000C555D">
        <w:rPr>
          <w:rFonts w:eastAsia="Times New Roman" w:cs="Arial"/>
          <w:i/>
          <w:iCs/>
        </w:rPr>
        <w:lastRenderedPageBreak/>
        <w:t xml:space="preserve">europejskie organy normalizacyjne lub – w przypadku ich braku – do norm krajowych, krajowych aprobat technicznych lub krajowych specyfikacji technicznych dotyczących projektowania, wyliczeń i realizacji robót budowlanych oraz wykorzystania dostaw; każdemu odniesieniu towarzyszą słowa </w:t>
      </w:r>
      <w:r w:rsidRPr="00B14125">
        <w:rPr>
          <w:rFonts w:eastAsia="Times New Roman" w:cs="Arial"/>
          <w:b/>
          <w:bCs/>
          <w:i/>
          <w:iCs/>
        </w:rPr>
        <w:t xml:space="preserve">"lub równoważne" </w:t>
      </w:r>
      <w:r>
        <w:rPr>
          <w:rFonts w:eastAsia="Times New Roman" w:cs="Arial"/>
          <w:i/>
          <w:iCs/>
        </w:rPr>
        <w:t>(…)</w:t>
      </w:r>
    </w:p>
    <w:p w:rsidR="00827C9D" w:rsidRDefault="00827C9D" w:rsidP="00827C9D">
      <w:pPr>
        <w:numPr>
          <w:ilvl w:val="0"/>
          <w:numId w:val="2"/>
        </w:numPr>
        <w:spacing w:line="276" w:lineRule="auto"/>
        <w:rPr>
          <w:rFonts w:eastAsia="Times New Roman" w:cs="Arial"/>
          <w:i/>
          <w:iCs/>
        </w:rPr>
      </w:pPr>
      <w:r>
        <w:rPr>
          <w:rFonts w:eastAsia="Times New Roman" w:cs="Arial"/>
          <w:i/>
          <w:iCs/>
        </w:rPr>
        <w:t>(…)”</w:t>
      </w:r>
    </w:p>
    <w:p w:rsidR="00827C9D" w:rsidRDefault="00827C9D" w:rsidP="00827C9D">
      <w:pPr>
        <w:spacing w:before="120" w:line="276" w:lineRule="auto"/>
        <w:rPr>
          <w:rFonts w:cs="Arial"/>
        </w:rPr>
      </w:pPr>
      <w:r>
        <w:rPr>
          <w:rFonts w:cs="Arial"/>
        </w:rPr>
        <w:t xml:space="preserve">Tożsamy zapis znajduje się w art. 60 dyrektywy 2014/25/EU. Na grunt prawa polskiego uregulowania te zostały przeniesione w art. 101 ustawy </w:t>
      </w:r>
      <w:proofErr w:type="spellStart"/>
      <w:r>
        <w:rPr>
          <w:rFonts w:cs="Arial"/>
        </w:rPr>
        <w:t>Pzp</w:t>
      </w:r>
      <w:proofErr w:type="spellEnd"/>
      <w:r>
        <w:rPr>
          <w:rFonts w:cs="Arial"/>
        </w:rPr>
        <w:t>.</w:t>
      </w:r>
    </w:p>
    <w:p w:rsidR="00827C9D" w:rsidRDefault="00827C9D" w:rsidP="00827C9D">
      <w:pPr>
        <w:spacing w:before="120" w:after="240" w:line="276" w:lineRule="auto"/>
        <w:rPr>
          <w:rFonts w:cs="Arial"/>
        </w:rPr>
      </w:pPr>
      <w:r>
        <w:rPr>
          <w:rFonts w:cs="Arial"/>
        </w:rPr>
        <w:t xml:space="preserve">Tym samym, </w:t>
      </w:r>
      <w:bookmarkStart w:id="1" w:name="_Hlk53998472"/>
      <w:r>
        <w:rPr>
          <w:rFonts w:cs="Arial"/>
        </w:rPr>
        <w:t>w przypadku gdy instytucja zamawiająca opisuje przedmiot zamówienia przez odniesienie</w:t>
      </w:r>
      <w:bookmarkEnd w:id="1"/>
      <w:r>
        <w:rPr>
          <w:rFonts w:cs="Arial"/>
        </w:rPr>
        <w:t xml:space="preserve"> do norm (nawet PN:EN), europejskich ocen technicznych, aprobat, specyfikacji technicznych i systemów referencji technicznych, zamawiający jest obowiązany nie tylko wskazać, że </w:t>
      </w:r>
      <w:r>
        <w:rPr>
          <w:rFonts w:cs="Arial"/>
          <w:b/>
          <w:bCs/>
        </w:rPr>
        <w:t>dopuszcza rozwiązania równoważne opisywanym, a odniesieniu takiemu winny zawsze towarzyszyć wyrazy "lub równoważne"</w:t>
      </w:r>
      <w:r>
        <w:rPr>
          <w:rFonts w:cs="Arial"/>
        </w:rPr>
        <w:t>.</w:t>
      </w:r>
    </w:p>
    <w:p w:rsidR="00827C9D" w:rsidRDefault="00827C9D" w:rsidP="00827C9D">
      <w:pPr>
        <w:spacing w:before="120" w:after="240" w:line="276" w:lineRule="auto"/>
        <w:rPr>
          <w:rFonts w:cs="Arial"/>
        </w:rPr>
      </w:pPr>
      <w:r>
        <w:rPr>
          <w:rFonts w:cs="Arial"/>
        </w:rPr>
        <w:t xml:space="preserve">Zgodnie z raportem z misji, opisanie przedmiotu zamówienia przez odniesienie do polskich norm PN:EN bez dopuszczenia rozwiązań równoważnych, bądź odniesieniom, którym nie towarzyszyło wyrażenie </w:t>
      </w:r>
      <w:r w:rsidRPr="00C4313D">
        <w:rPr>
          <w:rFonts w:cs="Arial"/>
          <w:b/>
        </w:rPr>
        <w:t>„lub równoważ</w:t>
      </w:r>
      <w:r w:rsidR="003827B9">
        <w:rPr>
          <w:rFonts w:cs="Arial"/>
          <w:b/>
        </w:rPr>
        <w:t>n</w:t>
      </w:r>
      <w:r w:rsidRPr="00C4313D">
        <w:rPr>
          <w:rFonts w:cs="Arial"/>
          <w:b/>
        </w:rPr>
        <w:t>y”</w:t>
      </w:r>
      <w:r>
        <w:rPr>
          <w:rFonts w:cs="Arial"/>
        </w:rPr>
        <w:t>, stanowi naruszenie, skutkujące nałożeniem na wydatek korekty lub pomniejszeniem wydatków kwalifikowalnych w ramach danego zamówienia.</w:t>
      </w:r>
    </w:p>
    <w:p w:rsidR="00827C9D" w:rsidRDefault="00827C9D" w:rsidP="00827C9D">
      <w:pPr>
        <w:spacing w:after="268" w:line="268" w:lineRule="exact"/>
        <w:rPr>
          <w:rFonts w:cs="Arial"/>
          <w:color w:val="000000"/>
        </w:rPr>
      </w:pPr>
      <w:r>
        <w:rPr>
          <w:rFonts w:cs="Arial"/>
          <w:color w:val="000000"/>
        </w:rPr>
        <w:t xml:space="preserve">Zgodnie z ust. 4 art. 42 dyrektywy 2014/24/UE oraz 60 dyrektywy 2014/25/EU </w:t>
      </w:r>
      <w:r w:rsidR="003827B9">
        <w:rPr>
          <w:rFonts w:cs="Arial"/>
          <w:color w:val="000000"/>
        </w:rPr>
        <w:t>–</w:t>
      </w:r>
      <w:r>
        <w:rPr>
          <w:rFonts w:cs="Arial"/>
          <w:color w:val="000000"/>
        </w:rPr>
        <w:t xml:space="preserve"> „Jeżeli nie uzasadnia tego przedmiot zamówienia, specyfikacje techniczne nie zawierają odniesienia do konkretnej marki lub źródła, ani do szczególnego procesu, który charakteryzuje produkty lub usługi dostarczane przez konkretnego wykonawcę, ani do znaku handlowego, patentu, typu bądź konkretnego pochodzenia lub produkcji, które to odniesienie mogłoby prowadzić do uprzywilejowania lub wyelimino</w:t>
      </w:r>
      <w:r>
        <w:rPr>
          <w:rFonts w:cs="Arial"/>
          <w:color w:val="000000"/>
        </w:rPr>
        <w:softHyphen/>
        <w:t>wania pewnych przedsiębiorstw lub produktów. W wyjątkowych przy</w:t>
      </w:r>
      <w:r>
        <w:rPr>
          <w:rFonts w:cs="Arial"/>
          <w:color w:val="000000"/>
        </w:rPr>
        <w:softHyphen/>
        <w:t xml:space="preserve">padkach dopuszcza się stosowanie takich odniesień, jeżeli niemożliwe jest opisanie przedmiotu zamówienia w wystarczająco precyzyjny i zrozumiały sposób zgodnie z ust. 3. </w:t>
      </w:r>
      <w:r>
        <w:rPr>
          <w:rFonts w:cs="Arial"/>
          <w:b/>
          <w:bCs/>
          <w:color w:val="000000"/>
        </w:rPr>
        <w:t>Takim odniesieniom towarzyszą słowa „lub równoważne”</w:t>
      </w:r>
      <w:r w:rsidRPr="00C4313D">
        <w:rPr>
          <w:rFonts w:cs="Arial"/>
          <w:bCs/>
          <w:color w:val="000000"/>
        </w:rPr>
        <w:t>”</w:t>
      </w:r>
      <w:r>
        <w:rPr>
          <w:rFonts w:cs="Arial"/>
          <w:color w:val="000000"/>
        </w:rPr>
        <w:t xml:space="preserve">. </w:t>
      </w:r>
    </w:p>
    <w:p w:rsidR="00827C9D" w:rsidRDefault="00827C9D" w:rsidP="00827C9D">
      <w:pPr>
        <w:spacing w:after="268" w:line="268" w:lineRule="exact"/>
        <w:rPr>
          <w:rFonts w:cs="Arial"/>
          <w:color w:val="000000"/>
        </w:rPr>
      </w:pPr>
      <w:r>
        <w:rPr>
          <w:rFonts w:cs="Arial"/>
          <w:color w:val="000000"/>
        </w:rPr>
        <w:t xml:space="preserve">Na grunt prawa polskiego powyższą regulację przenosi art. 99 ustawy </w:t>
      </w:r>
      <w:proofErr w:type="spellStart"/>
      <w:r>
        <w:rPr>
          <w:rFonts w:cs="Arial"/>
          <w:color w:val="000000"/>
        </w:rPr>
        <w:t>Pzp</w:t>
      </w:r>
      <w:proofErr w:type="spellEnd"/>
      <w:r>
        <w:rPr>
          <w:rFonts w:cs="Arial"/>
          <w:color w:val="000000"/>
        </w:rPr>
        <w:t>.</w:t>
      </w:r>
    </w:p>
    <w:p w:rsidR="00827C9D" w:rsidRPr="005E4B75" w:rsidRDefault="00827C9D" w:rsidP="00827C9D">
      <w:pPr>
        <w:spacing w:line="268" w:lineRule="exact"/>
        <w:rPr>
          <w:rFonts w:cs="Arial"/>
          <w:color w:val="000000"/>
        </w:rPr>
      </w:pPr>
      <w:r>
        <w:rPr>
          <w:rFonts w:cs="Arial"/>
          <w:color w:val="000000"/>
        </w:rPr>
        <w:t xml:space="preserve">Tym samym, w przypadku gdy instytucja zamawiająca opisuje przedmiot zamówienia przez odniesienie do konkretnej marki lub źródła, do szczególnego procesu, który charakteryzuje produkty lub usługi dostarczane przez konkretnego wykonawcę, do znaku handlowego, patentu, typu bądź konkretnego pochodzenia lub produkcji, zamawiający jest obowiązany nie tylko wskazać, że </w:t>
      </w:r>
      <w:r>
        <w:rPr>
          <w:rFonts w:cs="Arial"/>
          <w:b/>
          <w:bCs/>
          <w:color w:val="000000"/>
        </w:rPr>
        <w:t xml:space="preserve">dopuszcza rozwiązania równoważne opisywanym, ale odniesieniu takiemu winny zawsze towarzyszyć wyrazy "lub równoważne". </w:t>
      </w:r>
      <w:r w:rsidRPr="005E4B75">
        <w:rPr>
          <w:rFonts w:cs="Arial"/>
          <w:color w:val="000000"/>
        </w:rPr>
        <w:t xml:space="preserve">Jeżeli zamawiający opisze przedmiot zamówienia </w:t>
      </w:r>
      <w:r>
        <w:rPr>
          <w:rFonts w:cs="Arial"/>
          <w:color w:val="000000"/>
        </w:rPr>
        <w:t>w ten</w:t>
      </w:r>
      <w:r w:rsidRPr="005E4B75">
        <w:rPr>
          <w:rFonts w:cs="Arial"/>
          <w:color w:val="000000"/>
        </w:rPr>
        <w:t xml:space="preserve"> sposób, to </w:t>
      </w:r>
      <w:r>
        <w:rPr>
          <w:rFonts w:cs="Arial"/>
          <w:color w:val="000000"/>
        </w:rPr>
        <w:t>ma obowiązek</w:t>
      </w:r>
      <w:r w:rsidRPr="005E4B75">
        <w:rPr>
          <w:rFonts w:cs="Arial"/>
          <w:color w:val="000000"/>
        </w:rPr>
        <w:t xml:space="preserve"> w opisie przedmiotu zamówienia wskazać kryteria stosowane w celu oceny równoważności.</w:t>
      </w:r>
    </w:p>
    <w:p w:rsidR="00827C9D" w:rsidRDefault="00827C9D" w:rsidP="00827C9D">
      <w:pPr>
        <w:autoSpaceDE w:val="0"/>
        <w:rPr>
          <w:rFonts w:cs="Arial"/>
          <w:color w:val="4C4C4C"/>
          <w:lang w:eastAsia="pl-PL"/>
        </w:rPr>
      </w:pPr>
    </w:p>
    <w:p w:rsidR="00827C9D" w:rsidRDefault="00827C9D" w:rsidP="00827C9D">
      <w:pPr>
        <w:autoSpaceDE w:val="0"/>
        <w:rPr>
          <w:rFonts w:cs="Arial"/>
          <w:b/>
          <w:bCs/>
          <w:color w:val="4C4C4C"/>
          <w:lang w:eastAsia="pl-PL"/>
        </w:rPr>
      </w:pPr>
    </w:p>
    <w:p w:rsidR="00827C9D" w:rsidRDefault="00827C9D" w:rsidP="00827C9D">
      <w:pPr>
        <w:autoSpaceDE w:val="0"/>
        <w:rPr>
          <w:rFonts w:cs="Arial"/>
          <w:b/>
          <w:bCs/>
          <w:color w:val="4C4C4C"/>
          <w:lang w:eastAsia="pl-PL"/>
        </w:rPr>
      </w:pPr>
      <w:r>
        <w:rPr>
          <w:rFonts w:cs="Arial"/>
          <w:b/>
          <w:bCs/>
          <w:color w:val="4C4C4C"/>
          <w:lang w:eastAsia="pl-PL"/>
        </w:rPr>
        <w:t>Piotr Ryza</w:t>
      </w:r>
    </w:p>
    <w:p w:rsidR="00827C9D" w:rsidRDefault="00827C9D" w:rsidP="00827C9D">
      <w:pPr>
        <w:autoSpaceDE w:val="0"/>
        <w:rPr>
          <w:rFonts w:cs="Arial"/>
          <w:i/>
          <w:iCs/>
          <w:color w:val="4C4C4C"/>
          <w:lang w:eastAsia="pl-PL"/>
        </w:rPr>
      </w:pPr>
      <w:r>
        <w:rPr>
          <w:rFonts w:cs="Arial"/>
          <w:i/>
          <w:iCs/>
          <w:color w:val="4C4C4C"/>
          <w:lang w:eastAsia="pl-PL"/>
        </w:rPr>
        <w:t>Kierownik</w:t>
      </w:r>
    </w:p>
    <w:p w:rsidR="00A56D38" w:rsidRDefault="00827C9D" w:rsidP="005D1C8C">
      <w:pPr>
        <w:rPr>
          <w:rFonts w:cs="Arial"/>
          <w:i/>
          <w:iCs/>
          <w:color w:val="4C4C4C"/>
          <w:lang w:eastAsia="pl-PL"/>
        </w:rPr>
      </w:pPr>
      <w:r>
        <w:rPr>
          <w:rFonts w:cs="Arial"/>
          <w:i/>
          <w:iCs/>
          <w:color w:val="4C4C4C"/>
          <w:lang w:eastAsia="pl-PL"/>
        </w:rPr>
        <w:t>Referat Kontroli</w:t>
      </w:r>
      <w:r w:rsidR="00A56D38">
        <w:rPr>
          <w:rFonts w:cs="Arial"/>
          <w:i/>
          <w:iCs/>
          <w:color w:val="4C4C4C"/>
          <w:lang w:eastAsia="pl-PL"/>
        </w:rPr>
        <w:t xml:space="preserve"> Projektów</w:t>
      </w:r>
    </w:p>
    <w:p w:rsidR="00A56D38" w:rsidRDefault="00A56D38" w:rsidP="005D1C8C">
      <w:r>
        <w:rPr>
          <w:rFonts w:cs="Arial"/>
          <w:i/>
          <w:iCs/>
          <w:color w:val="4C4C4C"/>
          <w:lang w:eastAsia="pl-PL"/>
        </w:rPr>
        <w:t>Departament Europejskiego Funduszu Rozwoju Regionalnego</w:t>
      </w:r>
    </w:p>
    <w:sectPr w:rsidR="00A56D38" w:rsidSect="009F2AE2">
      <w:footerReference w:type="default" r:id="rId8"/>
      <w:headerReference w:type="first" r:id="rId9"/>
      <w:footerReference w:type="first" r:id="rId10"/>
      <w:type w:val="continuous"/>
      <w:pgSz w:w="11906" w:h="16838" w:code="9"/>
      <w:pgMar w:top="993" w:right="992" w:bottom="936" w:left="1344" w:header="93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9C0" w:rsidRDefault="00E639C0" w:rsidP="00AB4A4A">
      <w:r>
        <w:separator/>
      </w:r>
    </w:p>
  </w:endnote>
  <w:endnote w:type="continuationSeparator" w:id="0">
    <w:p w:rsidR="00E639C0" w:rsidRDefault="00E639C0" w:rsidP="00AB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ptifer Sans LT Pro Medium">
    <w:altName w:val="Arial"/>
    <w:panose1 w:val="00000000000000000000"/>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8B" w:rsidRPr="00E53A8B" w:rsidRDefault="00E53A8B" w:rsidP="00E53A8B">
    <w:pPr>
      <w:pStyle w:val="Stopka"/>
      <w:jc w:val="right"/>
      <w:rPr>
        <w:sz w:val="18"/>
        <w:szCs w:val="18"/>
      </w:rPr>
    </w:pPr>
    <w:r w:rsidRPr="00C06539">
      <w:rPr>
        <w:bCs/>
        <w:sz w:val="18"/>
        <w:szCs w:val="18"/>
      </w:rPr>
      <w:fldChar w:fldCharType="begin"/>
    </w:r>
    <w:r w:rsidRPr="00C06539">
      <w:rPr>
        <w:bCs/>
        <w:sz w:val="18"/>
        <w:szCs w:val="18"/>
      </w:rPr>
      <w:instrText>PAGE</w:instrText>
    </w:r>
    <w:r w:rsidRPr="00C06539">
      <w:rPr>
        <w:bCs/>
        <w:sz w:val="18"/>
        <w:szCs w:val="18"/>
      </w:rPr>
      <w:fldChar w:fldCharType="separate"/>
    </w:r>
    <w:r w:rsidR="00AF72DC">
      <w:rPr>
        <w:bCs/>
        <w:noProof/>
        <w:sz w:val="18"/>
        <w:szCs w:val="18"/>
      </w:rPr>
      <w:t>2</w:t>
    </w:r>
    <w:r w:rsidRPr="00C06539">
      <w:rPr>
        <w:bCs/>
        <w:sz w:val="18"/>
        <w:szCs w:val="18"/>
      </w:rPr>
      <w:fldChar w:fldCharType="end"/>
    </w:r>
    <w:r w:rsidRPr="00C06539">
      <w:rPr>
        <w:bCs/>
        <w:sz w:val="18"/>
        <w:szCs w:val="18"/>
      </w:rPr>
      <w:t>/</w:t>
    </w:r>
    <w:r w:rsidRPr="00C06539">
      <w:rPr>
        <w:bCs/>
        <w:sz w:val="18"/>
        <w:szCs w:val="18"/>
      </w:rPr>
      <w:fldChar w:fldCharType="begin"/>
    </w:r>
    <w:r w:rsidRPr="00C06539">
      <w:rPr>
        <w:bCs/>
        <w:sz w:val="18"/>
        <w:szCs w:val="18"/>
      </w:rPr>
      <w:instrText>NUMPAGES</w:instrText>
    </w:r>
    <w:r w:rsidRPr="00C06539">
      <w:rPr>
        <w:bCs/>
        <w:sz w:val="18"/>
        <w:szCs w:val="18"/>
      </w:rPr>
      <w:fldChar w:fldCharType="separate"/>
    </w:r>
    <w:r w:rsidR="00AF72DC">
      <w:rPr>
        <w:bCs/>
        <w:noProof/>
        <w:sz w:val="18"/>
        <w:szCs w:val="18"/>
      </w:rPr>
      <w:t>2</w:t>
    </w:r>
    <w:r w:rsidRPr="00C06539">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488" w:rsidRPr="002F6843" w:rsidRDefault="009B023C" w:rsidP="00B02FDA">
    <w:pPr>
      <w:pStyle w:val="Stopka"/>
      <w:jc w:val="right"/>
      <w:rPr>
        <w:bCs/>
        <w:sz w:val="99"/>
        <w:szCs w:val="144"/>
      </w:rPr>
    </w:pPr>
    <w:bookmarkStart w:id="2" w:name="enter"/>
    <w:r>
      <w:rPr>
        <w:noProof/>
      </w:rPr>
      <w:drawing>
        <wp:inline distT="0" distB="0" distL="0" distR="0" wp14:anchorId="1AFD9C81" wp14:editId="6E1FB05E">
          <wp:extent cx="6076950" cy="641350"/>
          <wp:effectExtent l="0" t="0" r="0" b="6350"/>
          <wp:docPr id="2" name="Obraz 2"/>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bwMode="auto">
                  <a:xfrm>
                    <a:off x="0" y="0"/>
                    <a:ext cx="6076950" cy="641350"/>
                  </a:xfrm>
                  <a:prstGeom prst="rect">
                    <a:avLst/>
                  </a:prstGeom>
                  <a:noFill/>
                  <a:ln>
                    <a:noFill/>
                  </a:ln>
                </pic:spPr>
              </pic:pic>
            </a:graphicData>
          </a:graphic>
        </wp:inline>
      </w:drawing>
    </w:r>
  </w:p>
  <w:bookmarkEnd w:id="2"/>
  <w:p w:rsidR="0011569A" w:rsidRDefault="0011569A" w:rsidP="0011569A">
    <w:pPr>
      <w:pStyle w:val="Stopka"/>
      <w:jc w:val="right"/>
      <w:rPr>
        <w:bCs/>
        <w:sz w:val="18"/>
        <w:szCs w:val="18"/>
      </w:rPr>
    </w:pPr>
  </w:p>
  <w:p w:rsidR="0011569A" w:rsidRPr="0011569A" w:rsidRDefault="004E0604" w:rsidP="0011569A">
    <w:pPr>
      <w:pStyle w:val="Stopka"/>
      <w:jc w:val="right"/>
      <w:rPr>
        <w:bCs/>
        <w:sz w:val="18"/>
        <w:szCs w:val="18"/>
      </w:rPr>
    </w:pPr>
    <w:r w:rsidRPr="00C06539">
      <w:rPr>
        <w:bCs/>
        <w:sz w:val="18"/>
        <w:szCs w:val="18"/>
      </w:rPr>
      <w:fldChar w:fldCharType="begin"/>
    </w:r>
    <w:r w:rsidRPr="00C06539">
      <w:rPr>
        <w:bCs/>
        <w:sz w:val="18"/>
        <w:szCs w:val="18"/>
      </w:rPr>
      <w:instrText>PAGE</w:instrText>
    </w:r>
    <w:r w:rsidRPr="00C06539">
      <w:rPr>
        <w:bCs/>
        <w:sz w:val="18"/>
        <w:szCs w:val="18"/>
      </w:rPr>
      <w:fldChar w:fldCharType="separate"/>
    </w:r>
    <w:r w:rsidR="00DD47CF">
      <w:rPr>
        <w:bCs/>
        <w:noProof/>
        <w:sz w:val="18"/>
        <w:szCs w:val="18"/>
      </w:rPr>
      <w:t>1</w:t>
    </w:r>
    <w:r w:rsidRPr="00C06539">
      <w:rPr>
        <w:bCs/>
        <w:sz w:val="18"/>
        <w:szCs w:val="18"/>
      </w:rPr>
      <w:fldChar w:fldCharType="end"/>
    </w:r>
    <w:r w:rsidRPr="00C06539">
      <w:rPr>
        <w:bCs/>
        <w:sz w:val="18"/>
        <w:szCs w:val="18"/>
      </w:rPr>
      <w:t>/</w:t>
    </w:r>
    <w:r w:rsidRPr="00C06539">
      <w:rPr>
        <w:bCs/>
        <w:sz w:val="18"/>
        <w:szCs w:val="18"/>
      </w:rPr>
      <w:fldChar w:fldCharType="begin"/>
    </w:r>
    <w:r w:rsidRPr="00C06539">
      <w:rPr>
        <w:bCs/>
        <w:sz w:val="18"/>
        <w:szCs w:val="18"/>
      </w:rPr>
      <w:instrText>NUMPAGES</w:instrText>
    </w:r>
    <w:r w:rsidRPr="00C06539">
      <w:rPr>
        <w:bCs/>
        <w:sz w:val="18"/>
        <w:szCs w:val="18"/>
      </w:rPr>
      <w:fldChar w:fldCharType="separate"/>
    </w:r>
    <w:r w:rsidR="00DD47CF">
      <w:rPr>
        <w:bCs/>
        <w:noProof/>
        <w:sz w:val="18"/>
        <w:szCs w:val="18"/>
      </w:rPr>
      <w:t>1</w:t>
    </w:r>
    <w:r w:rsidRPr="00C06539">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9C0" w:rsidRDefault="00E639C0" w:rsidP="00AB4A4A">
      <w:r>
        <w:separator/>
      </w:r>
    </w:p>
  </w:footnote>
  <w:footnote w:type="continuationSeparator" w:id="0">
    <w:p w:rsidR="00E639C0" w:rsidRDefault="00E639C0" w:rsidP="00AB4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A2" w:rsidRDefault="009F2AE2" w:rsidP="001C4AA2">
    <w:pPr>
      <w:pStyle w:val="Nagwek"/>
      <w:tabs>
        <w:tab w:val="left" w:pos="4111"/>
      </w:tabs>
    </w:pPr>
    <w:r>
      <w:rPr>
        <w:noProof/>
        <w:lang w:eastAsia="pl-PL"/>
      </w:rPr>
      <w:drawing>
        <wp:anchor distT="0" distB="0" distL="114300" distR="114300" simplePos="0" relativeHeight="251660288" behindDoc="0" locked="0" layoutInCell="1" allowOverlap="1">
          <wp:simplePos x="0" y="0"/>
          <wp:positionH relativeFrom="column">
            <wp:posOffset>32385</wp:posOffset>
          </wp:positionH>
          <wp:positionV relativeFrom="paragraph">
            <wp:posOffset>3372707</wp:posOffset>
          </wp:positionV>
          <wp:extent cx="1187450" cy="194916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1949162"/>
                  </a:xfrm>
                  <a:prstGeom prst="rect">
                    <a:avLst/>
                  </a:prstGeom>
                </pic:spPr>
              </pic:pic>
            </a:graphicData>
          </a:graphic>
          <wp14:sizeRelH relativeFrom="margin">
            <wp14:pctWidth>0</wp14:pctWidth>
          </wp14:sizeRelH>
          <wp14:sizeRelV relativeFrom="margin">
            <wp14:pctHeight>0</wp14:pctHeight>
          </wp14:sizeRelV>
        </wp:anchor>
      </w:drawing>
    </w:r>
    <w:r w:rsidR="000C5958">
      <w:rPr>
        <w:noProof/>
        <w:lang w:eastAsia="pl-PL"/>
      </w:rPr>
      <mc:AlternateContent>
        <mc:Choice Requires="wps">
          <w:drawing>
            <wp:anchor distT="0" distB="0" distL="114300" distR="114300" simplePos="0" relativeHeight="251657216" behindDoc="0" locked="1" layoutInCell="1" allowOverlap="0" wp14:anchorId="03364A76" wp14:editId="54D3556D">
              <wp:simplePos x="0" y="0"/>
              <wp:positionH relativeFrom="page">
                <wp:posOffset>847725</wp:posOffset>
              </wp:positionH>
              <wp:positionV relativeFrom="page">
                <wp:posOffset>3057525</wp:posOffset>
              </wp:positionV>
              <wp:extent cx="1461135" cy="6057900"/>
              <wp:effectExtent l="0" t="0" r="5715" b="0"/>
              <wp:wrapSquare wrapText="bothSides"/>
              <wp:docPr id="31"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A2" w:rsidRPr="0031614F" w:rsidRDefault="001C4AA2" w:rsidP="001C4AA2">
                          <w:pPr>
                            <w:rPr>
                              <w:rFonts w:ascii="Aptifer Sans LT Pro Medium" w:hAnsi="Aptifer Sans LT Pro Medium" w:cs="Arial"/>
                              <w:sz w:val="17"/>
                              <w:szCs w:val="17"/>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364A76" id="_x0000_t202" coordsize="21600,21600" o:spt="202" path="m,l,21600r21600,l21600,xe">
              <v:stroke joinstyle="miter"/>
              <v:path gradientshapeok="t" o:connecttype="rect"/>
            </v:shapetype>
            <v:shape id="Pole tekstowe 17" o:spid="_x0000_s1026" type="#_x0000_t202" style="position:absolute;margin-left:66.75pt;margin-top:240.75pt;width:115.05pt;height:4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" o:allowoverlap="f" filled="f" stroked="f">
              <v:textbox inset="0,0,0,0">
                <w:txbxContent>
                  <w:p w:rsidR="001C4AA2" w:rsidRPr="0031614F" w:rsidRDefault="001C4AA2" w:rsidP="001C4AA2">
                    <w:pPr>
                      <w:rPr>
                        <w:rFonts w:ascii="Aptifer Sans LT Pro Medium" w:hAnsi="Aptifer Sans LT Pro Medium" w:cs="Arial"/>
                        <w:sz w:val="17"/>
                        <w:szCs w:val="17"/>
                      </w:rPr>
                    </w:pPr>
                  </w:p>
                </w:txbxContent>
              </v:textbox>
              <w10:wrap type="square" anchorx="page" anchory="page"/>
              <w10:anchorlock/>
            </v:shape>
          </w:pict>
        </mc:Fallback>
      </mc:AlternateContent>
    </w:r>
    <w:r w:rsidR="0064483E">
      <w:rPr>
        <w:noProof/>
      </w:rPr>
      <w:drawing>
        <wp:inline distT="0" distB="0" distL="0" distR="0" wp14:anchorId="6E7E939A" wp14:editId="08F16E0A">
          <wp:extent cx="1583690" cy="53975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extLst>
                      <a:ext uri="{28A0092B-C50C-407E-A947-70E740481C1C}">
                        <a14:useLocalDpi xmlns:a14="http://schemas.microsoft.com/office/drawing/2010/main" val="0"/>
                      </a:ext>
                    </a:extLst>
                  </a:blip>
                  <a:stretch>
                    <a:fillRect/>
                  </a:stretch>
                </pic:blipFill>
                <pic:spPr bwMode="auto">
                  <a:xfrm>
                    <a:off x="0" y="0"/>
                    <a:ext cx="158369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152"/>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458167D"/>
    <w:multiLevelType w:val="hybridMultilevel"/>
    <w:tmpl w:val="2F1239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styleLockThe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31"/>
    <w:rsid w:val="000133D6"/>
    <w:rsid w:val="00033271"/>
    <w:rsid w:val="00044597"/>
    <w:rsid w:val="0004532A"/>
    <w:rsid w:val="000472CB"/>
    <w:rsid w:val="000503E6"/>
    <w:rsid w:val="000676B4"/>
    <w:rsid w:val="00087A6B"/>
    <w:rsid w:val="00096DEF"/>
    <w:rsid w:val="000A6DD0"/>
    <w:rsid w:val="000C5958"/>
    <w:rsid w:val="000D53F3"/>
    <w:rsid w:val="000E37F3"/>
    <w:rsid w:val="000F1E8C"/>
    <w:rsid w:val="0010321C"/>
    <w:rsid w:val="0011569A"/>
    <w:rsid w:val="00116525"/>
    <w:rsid w:val="0013636D"/>
    <w:rsid w:val="001466D1"/>
    <w:rsid w:val="00160961"/>
    <w:rsid w:val="00166090"/>
    <w:rsid w:val="001908E0"/>
    <w:rsid w:val="001915D2"/>
    <w:rsid w:val="0019386D"/>
    <w:rsid w:val="001954E3"/>
    <w:rsid w:val="0019668A"/>
    <w:rsid w:val="00197E93"/>
    <w:rsid w:val="001A7F4D"/>
    <w:rsid w:val="001B5453"/>
    <w:rsid w:val="001C1422"/>
    <w:rsid w:val="001C4A73"/>
    <w:rsid w:val="001C4AA2"/>
    <w:rsid w:val="001D5529"/>
    <w:rsid w:val="001E6FE6"/>
    <w:rsid w:val="001F40E6"/>
    <w:rsid w:val="001F64C2"/>
    <w:rsid w:val="002043CC"/>
    <w:rsid w:val="00206EC9"/>
    <w:rsid w:val="00231477"/>
    <w:rsid w:val="002369DC"/>
    <w:rsid w:val="0024013A"/>
    <w:rsid w:val="00240EDE"/>
    <w:rsid w:val="0024632C"/>
    <w:rsid w:val="002524B8"/>
    <w:rsid w:val="00262F4D"/>
    <w:rsid w:val="00282AAF"/>
    <w:rsid w:val="00282C05"/>
    <w:rsid w:val="00285CB9"/>
    <w:rsid w:val="00286B41"/>
    <w:rsid w:val="002C1966"/>
    <w:rsid w:val="002C6693"/>
    <w:rsid w:val="002D65FA"/>
    <w:rsid w:val="002F6843"/>
    <w:rsid w:val="003039A5"/>
    <w:rsid w:val="00310EED"/>
    <w:rsid w:val="0031614F"/>
    <w:rsid w:val="00317313"/>
    <w:rsid w:val="00324552"/>
    <w:rsid w:val="00331D42"/>
    <w:rsid w:val="00351CF0"/>
    <w:rsid w:val="003678B4"/>
    <w:rsid w:val="00371358"/>
    <w:rsid w:val="00372B74"/>
    <w:rsid w:val="003827B9"/>
    <w:rsid w:val="00385DB4"/>
    <w:rsid w:val="00390108"/>
    <w:rsid w:val="003D748A"/>
    <w:rsid w:val="003D7BC5"/>
    <w:rsid w:val="003E5C79"/>
    <w:rsid w:val="003E64C0"/>
    <w:rsid w:val="0040055C"/>
    <w:rsid w:val="00407740"/>
    <w:rsid w:val="00410065"/>
    <w:rsid w:val="00424023"/>
    <w:rsid w:val="00425130"/>
    <w:rsid w:val="0043759C"/>
    <w:rsid w:val="00437F35"/>
    <w:rsid w:val="00470595"/>
    <w:rsid w:val="00473297"/>
    <w:rsid w:val="00474141"/>
    <w:rsid w:val="00476538"/>
    <w:rsid w:val="0049311E"/>
    <w:rsid w:val="004A1F4D"/>
    <w:rsid w:val="004A3B27"/>
    <w:rsid w:val="004B21A9"/>
    <w:rsid w:val="004B2223"/>
    <w:rsid w:val="004B3D78"/>
    <w:rsid w:val="004B5F03"/>
    <w:rsid w:val="004E0604"/>
    <w:rsid w:val="005043EA"/>
    <w:rsid w:val="005217C2"/>
    <w:rsid w:val="005223DD"/>
    <w:rsid w:val="00523C17"/>
    <w:rsid w:val="00527E52"/>
    <w:rsid w:val="0053193A"/>
    <w:rsid w:val="00534307"/>
    <w:rsid w:val="00541D56"/>
    <w:rsid w:val="00550F41"/>
    <w:rsid w:val="00552B26"/>
    <w:rsid w:val="005579C9"/>
    <w:rsid w:val="00571488"/>
    <w:rsid w:val="00571FE8"/>
    <w:rsid w:val="00583DCD"/>
    <w:rsid w:val="0059798C"/>
    <w:rsid w:val="005A64F9"/>
    <w:rsid w:val="005C1677"/>
    <w:rsid w:val="005C531E"/>
    <w:rsid w:val="005C6A6B"/>
    <w:rsid w:val="005D1C8C"/>
    <w:rsid w:val="005F1C87"/>
    <w:rsid w:val="005F2DB1"/>
    <w:rsid w:val="00604101"/>
    <w:rsid w:val="00604857"/>
    <w:rsid w:val="0062281B"/>
    <w:rsid w:val="006273E1"/>
    <w:rsid w:val="00641D91"/>
    <w:rsid w:val="0064483E"/>
    <w:rsid w:val="006471B6"/>
    <w:rsid w:val="006476FE"/>
    <w:rsid w:val="00651A52"/>
    <w:rsid w:val="0065785B"/>
    <w:rsid w:val="0066020E"/>
    <w:rsid w:val="00665345"/>
    <w:rsid w:val="00672CF9"/>
    <w:rsid w:val="00673B27"/>
    <w:rsid w:val="00687F33"/>
    <w:rsid w:val="006917EA"/>
    <w:rsid w:val="006948DE"/>
    <w:rsid w:val="006A7F86"/>
    <w:rsid w:val="006B77DC"/>
    <w:rsid w:val="006C5EEF"/>
    <w:rsid w:val="006D0B58"/>
    <w:rsid w:val="006D5A11"/>
    <w:rsid w:val="006E4F9A"/>
    <w:rsid w:val="006F02B5"/>
    <w:rsid w:val="006F0995"/>
    <w:rsid w:val="006F401B"/>
    <w:rsid w:val="006F6030"/>
    <w:rsid w:val="006F60B8"/>
    <w:rsid w:val="00704B69"/>
    <w:rsid w:val="007079D0"/>
    <w:rsid w:val="007138B8"/>
    <w:rsid w:val="00713911"/>
    <w:rsid w:val="00713A29"/>
    <w:rsid w:val="00716C92"/>
    <w:rsid w:val="00721E00"/>
    <w:rsid w:val="007442C2"/>
    <w:rsid w:val="007459FC"/>
    <w:rsid w:val="00746624"/>
    <w:rsid w:val="00754027"/>
    <w:rsid w:val="00756D80"/>
    <w:rsid w:val="007625B3"/>
    <w:rsid w:val="00763975"/>
    <w:rsid w:val="007726A8"/>
    <w:rsid w:val="007875C2"/>
    <w:rsid w:val="0079165A"/>
    <w:rsid w:val="00795194"/>
    <w:rsid w:val="0079612A"/>
    <w:rsid w:val="007B3AC5"/>
    <w:rsid w:val="007B5B13"/>
    <w:rsid w:val="007B7480"/>
    <w:rsid w:val="007C00FB"/>
    <w:rsid w:val="007C1B93"/>
    <w:rsid w:val="007C255C"/>
    <w:rsid w:val="007C6581"/>
    <w:rsid w:val="007C7729"/>
    <w:rsid w:val="007D6C73"/>
    <w:rsid w:val="007E162A"/>
    <w:rsid w:val="007E5643"/>
    <w:rsid w:val="007E5C18"/>
    <w:rsid w:val="007F0F31"/>
    <w:rsid w:val="007F513A"/>
    <w:rsid w:val="00801EA5"/>
    <w:rsid w:val="0080317E"/>
    <w:rsid w:val="00810EB7"/>
    <w:rsid w:val="00811248"/>
    <w:rsid w:val="00814C20"/>
    <w:rsid w:val="008177A4"/>
    <w:rsid w:val="00821258"/>
    <w:rsid w:val="00827C9D"/>
    <w:rsid w:val="00835909"/>
    <w:rsid w:val="0084242E"/>
    <w:rsid w:val="008574EB"/>
    <w:rsid w:val="008759CE"/>
    <w:rsid w:val="008863B2"/>
    <w:rsid w:val="0088682B"/>
    <w:rsid w:val="00887A85"/>
    <w:rsid w:val="008931D4"/>
    <w:rsid w:val="00896F38"/>
    <w:rsid w:val="008B0717"/>
    <w:rsid w:val="008B5806"/>
    <w:rsid w:val="008B687B"/>
    <w:rsid w:val="008B7496"/>
    <w:rsid w:val="008D340C"/>
    <w:rsid w:val="008E36DC"/>
    <w:rsid w:val="008E7AD5"/>
    <w:rsid w:val="008F3A1B"/>
    <w:rsid w:val="00900975"/>
    <w:rsid w:val="0091363F"/>
    <w:rsid w:val="0093759F"/>
    <w:rsid w:val="009465B8"/>
    <w:rsid w:val="00951C66"/>
    <w:rsid w:val="0095386C"/>
    <w:rsid w:val="00954FC8"/>
    <w:rsid w:val="00956893"/>
    <w:rsid w:val="00964842"/>
    <w:rsid w:val="00965646"/>
    <w:rsid w:val="00982ADF"/>
    <w:rsid w:val="00996054"/>
    <w:rsid w:val="009A1138"/>
    <w:rsid w:val="009B023C"/>
    <w:rsid w:val="009B4BF0"/>
    <w:rsid w:val="009B555A"/>
    <w:rsid w:val="009B7E49"/>
    <w:rsid w:val="009C5227"/>
    <w:rsid w:val="009D1113"/>
    <w:rsid w:val="009D3606"/>
    <w:rsid w:val="009E2AAC"/>
    <w:rsid w:val="009F1C7B"/>
    <w:rsid w:val="009F2AE2"/>
    <w:rsid w:val="009F38CE"/>
    <w:rsid w:val="00A03081"/>
    <w:rsid w:val="00A034D7"/>
    <w:rsid w:val="00A30274"/>
    <w:rsid w:val="00A30D4C"/>
    <w:rsid w:val="00A37DFE"/>
    <w:rsid w:val="00A437CB"/>
    <w:rsid w:val="00A543CF"/>
    <w:rsid w:val="00A55D34"/>
    <w:rsid w:val="00A56D38"/>
    <w:rsid w:val="00A64717"/>
    <w:rsid w:val="00A82E72"/>
    <w:rsid w:val="00A9282A"/>
    <w:rsid w:val="00A928DF"/>
    <w:rsid w:val="00A93DD1"/>
    <w:rsid w:val="00AA2599"/>
    <w:rsid w:val="00AA2DAC"/>
    <w:rsid w:val="00AB4A4A"/>
    <w:rsid w:val="00AF0361"/>
    <w:rsid w:val="00AF6C86"/>
    <w:rsid w:val="00AF72DC"/>
    <w:rsid w:val="00B0102E"/>
    <w:rsid w:val="00B02FDA"/>
    <w:rsid w:val="00B102D6"/>
    <w:rsid w:val="00B10A69"/>
    <w:rsid w:val="00B3477F"/>
    <w:rsid w:val="00B37FC8"/>
    <w:rsid w:val="00B4312A"/>
    <w:rsid w:val="00B4557C"/>
    <w:rsid w:val="00B529D3"/>
    <w:rsid w:val="00B55FDB"/>
    <w:rsid w:val="00B607E2"/>
    <w:rsid w:val="00B633D8"/>
    <w:rsid w:val="00B66B1F"/>
    <w:rsid w:val="00B66E32"/>
    <w:rsid w:val="00BA5AC0"/>
    <w:rsid w:val="00BB0390"/>
    <w:rsid w:val="00BB31FD"/>
    <w:rsid w:val="00BD0D20"/>
    <w:rsid w:val="00BD6F64"/>
    <w:rsid w:val="00BD79BB"/>
    <w:rsid w:val="00BF034C"/>
    <w:rsid w:val="00BF10AD"/>
    <w:rsid w:val="00BF725F"/>
    <w:rsid w:val="00BF7C94"/>
    <w:rsid w:val="00C200F1"/>
    <w:rsid w:val="00C4333F"/>
    <w:rsid w:val="00C436AA"/>
    <w:rsid w:val="00C54AFA"/>
    <w:rsid w:val="00C76843"/>
    <w:rsid w:val="00C87348"/>
    <w:rsid w:val="00C92164"/>
    <w:rsid w:val="00C92B73"/>
    <w:rsid w:val="00CA0FFF"/>
    <w:rsid w:val="00CA7D31"/>
    <w:rsid w:val="00CB67C5"/>
    <w:rsid w:val="00CC3FD5"/>
    <w:rsid w:val="00CC477B"/>
    <w:rsid w:val="00CC5D74"/>
    <w:rsid w:val="00CD1D30"/>
    <w:rsid w:val="00CD5077"/>
    <w:rsid w:val="00CE1165"/>
    <w:rsid w:val="00CF1866"/>
    <w:rsid w:val="00CF1BB3"/>
    <w:rsid w:val="00CF522C"/>
    <w:rsid w:val="00D03974"/>
    <w:rsid w:val="00D0750F"/>
    <w:rsid w:val="00D12E7C"/>
    <w:rsid w:val="00D16739"/>
    <w:rsid w:val="00D22066"/>
    <w:rsid w:val="00D33FFD"/>
    <w:rsid w:val="00D40BAA"/>
    <w:rsid w:val="00D446F2"/>
    <w:rsid w:val="00D77BCF"/>
    <w:rsid w:val="00D860E3"/>
    <w:rsid w:val="00D92694"/>
    <w:rsid w:val="00D9540E"/>
    <w:rsid w:val="00DA3A9B"/>
    <w:rsid w:val="00DC40A5"/>
    <w:rsid w:val="00DD04A5"/>
    <w:rsid w:val="00DD47CF"/>
    <w:rsid w:val="00DD5823"/>
    <w:rsid w:val="00DE1ED5"/>
    <w:rsid w:val="00DE7850"/>
    <w:rsid w:val="00DF5408"/>
    <w:rsid w:val="00DF597D"/>
    <w:rsid w:val="00E53A8B"/>
    <w:rsid w:val="00E54DF2"/>
    <w:rsid w:val="00E639C0"/>
    <w:rsid w:val="00E73F67"/>
    <w:rsid w:val="00E74636"/>
    <w:rsid w:val="00E83653"/>
    <w:rsid w:val="00EA2224"/>
    <w:rsid w:val="00EA5F63"/>
    <w:rsid w:val="00EA79D3"/>
    <w:rsid w:val="00ED0954"/>
    <w:rsid w:val="00ED5EAA"/>
    <w:rsid w:val="00ED6368"/>
    <w:rsid w:val="00EE77AB"/>
    <w:rsid w:val="00EF6DA1"/>
    <w:rsid w:val="00F11D2B"/>
    <w:rsid w:val="00F14683"/>
    <w:rsid w:val="00F324D2"/>
    <w:rsid w:val="00F35842"/>
    <w:rsid w:val="00F45D9D"/>
    <w:rsid w:val="00F57C35"/>
    <w:rsid w:val="00F61A34"/>
    <w:rsid w:val="00F81474"/>
    <w:rsid w:val="00F83FD3"/>
    <w:rsid w:val="00F8548D"/>
    <w:rsid w:val="00F91D98"/>
    <w:rsid w:val="00F941E8"/>
    <w:rsid w:val="00FA6EFF"/>
    <w:rsid w:val="00FA787A"/>
    <w:rsid w:val="00FB3A61"/>
    <w:rsid w:val="00FC41E0"/>
    <w:rsid w:val="00FC4F3D"/>
    <w:rsid w:val="00FC63DF"/>
    <w:rsid w:val="00FC6A14"/>
    <w:rsid w:val="00FE67FE"/>
    <w:rsid w:val="00FF1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E9FAC"/>
  <w15:docId w15:val="{28073B98-15A0-4AB8-8C55-F3D06F7B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pl-PL" w:eastAsia="pl-PL" w:bidi="ar-SA"/>
      </w:rPr>
    </w:rPrDefault>
    <w:pPrDefault/>
  </w:docDefaults>
  <w:latentStyles w:defLockedState="1" w:defUIPriority="99" w:defSemiHidden="0" w:defUnhideWhenUsed="0" w:defQFormat="0" w:count="375">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ny">
    <w:name w:val="Normal"/>
    <w:rsid w:val="00EA79D3"/>
    <w:rPr>
      <w:sz w:val="21"/>
      <w:szCs w:val="21"/>
      <w:lang w:eastAsia="en-US"/>
    </w:rPr>
  </w:style>
  <w:style w:type="paragraph" w:styleId="Nagwek1">
    <w:name w:val="heading 1"/>
    <w:basedOn w:val="Normalny"/>
    <w:next w:val="Normalny"/>
    <w:link w:val="Nagwek1Znak"/>
    <w:uiPriority w:val="9"/>
    <w:locked/>
    <w:rsid w:val="00827C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locked/>
    <w:rsid w:val="009C52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locked/>
    <w:rsid w:val="00CA7D31"/>
    <w:rPr>
      <w:rFonts w:ascii="Tahoma" w:hAnsi="Tahoma" w:cs="Tahoma"/>
      <w:sz w:val="16"/>
      <w:szCs w:val="16"/>
    </w:rPr>
  </w:style>
  <w:style w:type="character" w:customStyle="1" w:styleId="TekstdymkaZnak">
    <w:name w:val="Tekst dymka Znak"/>
    <w:link w:val="Tekstdymka"/>
    <w:uiPriority w:val="99"/>
    <w:semiHidden/>
    <w:rsid w:val="00CA7D31"/>
    <w:rPr>
      <w:rFonts w:ascii="Tahoma" w:hAnsi="Tahoma" w:cs="Tahoma"/>
      <w:sz w:val="16"/>
      <w:szCs w:val="16"/>
    </w:rPr>
  </w:style>
  <w:style w:type="paragraph" w:styleId="Nagwek">
    <w:name w:val="header"/>
    <w:basedOn w:val="Normalny"/>
    <w:link w:val="NagwekZnak"/>
    <w:uiPriority w:val="99"/>
    <w:unhideWhenUsed/>
    <w:locked/>
    <w:rsid w:val="00AB4A4A"/>
    <w:pPr>
      <w:tabs>
        <w:tab w:val="center" w:pos="4536"/>
        <w:tab w:val="right" w:pos="9072"/>
      </w:tabs>
    </w:pPr>
  </w:style>
  <w:style w:type="character" w:customStyle="1" w:styleId="NagwekZnak">
    <w:name w:val="Nagłówek Znak"/>
    <w:basedOn w:val="Domylnaczcionkaakapitu"/>
    <w:link w:val="Nagwek"/>
    <w:uiPriority w:val="99"/>
    <w:rsid w:val="00AB4A4A"/>
  </w:style>
  <w:style w:type="paragraph" w:styleId="Stopka">
    <w:name w:val="footer"/>
    <w:basedOn w:val="Normalny"/>
    <w:link w:val="StopkaZnak"/>
    <w:uiPriority w:val="99"/>
    <w:unhideWhenUsed/>
    <w:locked/>
    <w:rsid w:val="00AB4A4A"/>
    <w:pPr>
      <w:tabs>
        <w:tab w:val="center" w:pos="4536"/>
        <w:tab w:val="right" w:pos="9072"/>
      </w:tabs>
    </w:pPr>
  </w:style>
  <w:style w:type="character" w:customStyle="1" w:styleId="StopkaZnak">
    <w:name w:val="Stopka Znak"/>
    <w:basedOn w:val="Domylnaczcionkaakapitu"/>
    <w:link w:val="Stopka"/>
    <w:uiPriority w:val="99"/>
    <w:rsid w:val="00AB4A4A"/>
  </w:style>
  <w:style w:type="paragraph" w:styleId="Tekstprzypisukocowego">
    <w:name w:val="endnote text"/>
    <w:basedOn w:val="Normalny"/>
    <w:link w:val="TekstprzypisukocowegoZnak"/>
    <w:uiPriority w:val="99"/>
    <w:semiHidden/>
    <w:unhideWhenUsed/>
    <w:locked/>
    <w:rsid w:val="00470595"/>
    <w:rPr>
      <w:sz w:val="20"/>
      <w:szCs w:val="20"/>
    </w:rPr>
  </w:style>
  <w:style w:type="character" w:customStyle="1" w:styleId="TekstprzypisukocowegoZnak">
    <w:name w:val="Tekst przypisu końcowego Znak"/>
    <w:link w:val="Tekstprzypisukocowego"/>
    <w:uiPriority w:val="99"/>
    <w:semiHidden/>
    <w:rsid w:val="00470595"/>
    <w:rPr>
      <w:sz w:val="20"/>
      <w:szCs w:val="20"/>
    </w:rPr>
  </w:style>
  <w:style w:type="character" w:styleId="Odwoanieprzypisukocowego">
    <w:name w:val="endnote reference"/>
    <w:uiPriority w:val="99"/>
    <w:semiHidden/>
    <w:unhideWhenUsed/>
    <w:locked/>
    <w:rsid w:val="00470595"/>
    <w:rPr>
      <w:vertAlign w:val="superscript"/>
    </w:rPr>
  </w:style>
  <w:style w:type="paragraph" w:customStyle="1" w:styleId="Normalny1">
    <w:name w:val="Normalny1"/>
    <w:basedOn w:val="Normalny"/>
    <w:link w:val="normalZnak"/>
    <w:locked/>
    <w:rsid w:val="005F1C87"/>
    <w:pPr>
      <w:autoSpaceDE w:val="0"/>
      <w:autoSpaceDN w:val="0"/>
      <w:adjustRightInd w:val="0"/>
    </w:pPr>
    <w:rPr>
      <w:rFonts w:ascii="Georgia" w:hAnsi="Georgia"/>
      <w:sz w:val="20"/>
      <w:szCs w:val="20"/>
    </w:rPr>
  </w:style>
  <w:style w:type="character" w:customStyle="1" w:styleId="normalZnak">
    <w:name w:val="normal Znak"/>
    <w:link w:val="Normalny1"/>
    <w:rsid w:val="005F1C87"/>
    <w:rPr>
      <w:rFonts w:ascii="Georgia" w:eastAsia="Calibri" w:hAnsi="Georgia" w:cs="Times New Roman"/>
      <w:sz w:val="20"/>
      <w:szCs w:val="20"/>
    </w:rPr>
  </w:style>
  <w:style w:type="paragraph" w:customStyle="1" w:styleId="TreBold">
    <w:name w:val="Treść_Bold"/>
    <w:link w:val="TreBoldZnak"/>
    <w:uiPriority w:val="1"/>
    <w:qFormat/>
    <w:rsid w:val="0040055C"/>
    <w:pPr>
      <w:spacing w:line="268" w:lineRule="exact"/>
    </w:pPr>
    <w:rPr>
      <w:b/>
      <w:bCs/>
      <w:color w:val="000000"/>
      <w:sz w:val="21"/>
      <w:szCs w:val="21"/>
      <w:lang w:eastAsia="en-US"/>
    </w:rPr>
  </w:style>
  <w:style w:type="paragraph" w:customStyle="1" w:styleId="Tre0">
    <w:name w:val="Treść_0"/>
    <w:link w:val="Tre0Znak"/>
    <w:qFormat/>
    <w:rsid w:val="00604101"/>
    <w:pPr>
      <w:spacing w:line="268" w:lineRule="exact"/>
    </w:pPr>
    <w:rPr>
      <w:color w:val="000000"/>
      <w:sz w:val="21"/>
      <w:lang w:eastAsia="en-US"/>
    </w:rPr>
  </w:style>
  <w:style w:type="character" w:customStyle="1" w:styleId="TreBoldZnak">
    <w:name w:val="Treść_Bold Znak"/>
    <w:link w:val="TreBold"/>
    <w:uiPriority w:val="1"/>
    <w:rsid w:val="0040055C"/>
    <w:rPr>
      <w:b/>
      <w:bCs/>
      <w:color w:val="000000"/>
      <w:sz w:val="21"/>
      <w:szCs w:val="21"/>
      <w:lang w:eastAsia="en-US"/>
    </w:rPr>
  </w:style>
  <w:style w:type="paragraph" w:customStyle="1" w:styleId="TimesRegular11">
    <w:name w:val=".TimesRegular11"/>
    <w:basedOn w:val="Normalny1"/>
    <w:link w:val="TimesRegular11Znak"/>
    <w:locked/>
    <w:rsid w:val="005F1C87"/>
    <w:pPr>
      <w:spacing w:line="268" w:lineRule="exact"/>
    </w:pPr>
    <w:rPr>
      <w:rFonts w:ascii="Times" w:hAnsi="Times"/>
      <w:color w:val="000000"/>
      <w:sz w:val="22"/>
      <w:szCs w:val="22"/>
    </w:rPr>
  </w:style>
  <w:style w:type="character" w:customStyle="1" w:styleId="Tre0Znak">
    <w:name w:val="Treść_0 Znak"/>
    <w:link w:val="Tre0"/>
    <w:rsid w:val="00604101"/>
    <w:rPr>
      <w:color w:val="000000"/>
      <w:sz w:val="21"/>
      <w:lang w:eastAsia="en-US"/>
    </w:rPr>
  </w:style>
  <w:style w:type="character" w:customStyle="1" w:styleId="TimesRegular11Znak">
    <w:name w:val=".TimesRegular11 Znak"/>
    <w:link w:val="TimesRegular11"/>
    <w:rsid w:val="005F1C87"/>
    <w:rPr>
      <w:rFonts w:ascii="Times" w:eastAsia="Calibri" w:hAnsi="Times" w:cs="Times New Roman"/>
      <w:color w:val="000000"/>
      <w:sz w:val="22"/>
    </w:rPr>
  </w:style>
  <w:style w:type="table" w:styleId="Tabela-Siatka">
    <w:name w:val="Table Grid"/>
    <w:basedOn w:val="Standardowy"/>
    <w:uiPriority w:val="59"/>
    <w:rsid w:val="004B2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EA5F63"/>
    <w:rPr>
      <w:i/>
      <w:iCs/>
      <w:color w:val="808080"/>
    </w:rPr>
  </w:style>
  <w:style w:type="character" w:customStyle="1" w:styleId="Kursywa">
    <w:name w:val="Kursywa"/>
    <w:uiPriority w:val="4"/>
    <w:qFormat/>
    <w:rsid w:val="00EA5F63"/>
    <w:rPr>
      <w:rFonts w:ascii="Arial" w:hAnsi="Arial"/>
      <w:i/>
      <w:sz w:val="21"/>
    </w:rPr>
  </w:style>
  <w:style w:type="character" w:customStyle="1" w:styleId="Podkrelenie">
    <w:name w:val="Podkreślenie"/>
    <w:uiPriority w:val="5"/>
    <w:qFormat/>
    <w:rsid w:val="00EA79D3"/>
    <w:rPr>
      <w:rFonts w:ascii="Arial" w:hAnsi="Arial"/>
      <w:sz w:val="21"/>
      <w:u w:val="single"/>
    </w:rPr>
  </w:style>
  <w:style w:type="character" w:customStyle="1" w:styleId="teto">
    <w:name w:val="Żółte_tło"/>
    <w:uiPriority w:val="7"/>
    <w:qFormat/>
    <w:rsid w:val="00EA5F63"/>
    <w:rPr>
      <w:rFonts w:ascii="Arial" w:hAnsi="Arial"/>
      <w:sz w:val="21"/>
      <w:u w:color="FFFF00"/>
      <w:bdr w:val="none" w:sz="0" w:space="0" w:color="auto"/>
      <w:shd w:val="clear" w:color="auto" w:fill="FFFF00"/>
    </w:rPr>
  </w:style>
  <w:style w:type="character" w:customStyle="1" w:styleId="Przekrelenie">
    <w:name w:val="Przekreślenie"/>
    <w:uiPriority w:val="6"/>
    <w:qFormat/>
    <w:rsid w:val="00EA5F63"/>
    <w:rPr>
      <w:rFonts w:ascii="Arial" w:hAnsi="Arial"/>
      <w:strike/>
      <w:dstrike w:val="0"/>
      <w:sz w:val="21"/>
    </w:rPr>
  </w:style>
  <w:style w:type="character" w:customStyle="1" w:styleId="Czerwznak">
    <w:name w:val="Czerw_znak"/>
    <w:uiPriority w:val="10"/>
    <w:qFormat/>
    <w:rsid w:val="00EA5F63"/>
    <w:rPr>
      <w:rFonts w:ascii="Arial" w:hAnsi="Arial"/>
      <w:color w:val="FF0000"/>
      <w:sz w:val="21"/>
    </w:rPr>
  </w:style>
  <w:style w:type="character" w:styleId="Wyrnienieintensywne">
    <w:name w:val="Intense Emphasis"/>
    <w:aliases w:val="Temat"/>
    <w:basedOn w:val="Pogrubienie"/>
    <w:uiPriority w:val="21"/>
    <w:qFormat/>
    <w:rsid w:val="009C5227"/>
    <w:rPr>
      <w:rFonts w:ascii="Arial" w:hAnsi="Arial"/>
      <w:b w:val="0"/>
      <w:bCs w:val="0"/>
      <w:i w:val="0"/>
      <w:iCs/>
      <w:color w:val="4F81BD"/>
      <w:sz w:val="24"/>
    </w:rPr>
  </w:style>
  <w:style w:type="character" w:styleId="Pogrubienie">
    <w:name w:val="Strong"/>
    <w:uiPriority w:val="3"/>
    <w:qFormat/>
    <w:rsid w:val="00EA5F63"/>
    <w:rPr>
      <w:b/>
      <w:bCs/>
    </w:rPr>
  </w:style>
  <w:style w:type="character" w:customStyle="1" w:styleId="Znak">
    <w:name w:val="Znak"/>
    <w:basedOn w:val="Domylnaczcionkaakapitu"/>
    <w:uiPriority w:val="2"/>
    <w:qFormat/>
    <w:rsid w:val="00EA79D3"/>
    <w:rPr>
      <w:rFonts w:ascii="Arial" w:hAnsi="Arial"/>
      <w:sz w:val="21"/>
    </w:rPr>
  </w:style>
  <w:style w:type="paragraph" w:customStyle="1" w:styleId="Tre134">
    <w:name w:val="Treść_13.4"/>
    <w:next w:val="Tre0"/>
    <w:link w:val="Tre134Znak"/>
    <w:qFormat/>
    <w:rsid w:val="00604101"/>
    <w:pPr>
      <w:tabs>
        <w:tab w:val="left" w:pos="1796"/>
        <w:tab w:val="left" w:pos="5103"/>
      </w:tabs>
      <w:spacing w:after="268" w:line="268" w:lineRule="exact"/>
    </w:pPr>
    <w:rPr>
      <w:color w:val="000000"/>
      <w:sz w:val="21"/>
      <w:lang w:eastAsia="en-US"/>
    </w:rPr>
  </w:style>
  <w:style w:type="character" w:customStyle="1" w:styleId="Tre134Znak">
    <w:name w:val="Treść_13.4 Znak"/>
    <w:basedOn w:val="Tre0Znak"/>
    <w:link w:val="Tre134"/>
    <w:rsid w:val="00604101"/>
    <w:rPr>
      <w:color w:val="000000"/>
      <w:sz w:val="21"/>
      <w:lang w:eastAsia="en-US"/>
    </w:rPr>
  </w:style>
  <w:style w:type="character" w:customStyle="1" w:styleId="Nagwek1Znak">
    <w:name w:val="Nagłówek 1 Znak"/>
    <w:basedOn w:val="Domylnaczcionkaakapitu"/>
    <w:link w:val="Nagwek1"/>
    <w:uiPriority w:val="9"/>
    <w:rsid w:val="00827C9D"/>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9C522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51A9-23AF-426E-B63B-A8D279F5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670</Words>
  <Characters>4024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Leśniak</dc:creator>
  <cp:lastModifiedBy>Banek Michał</cp:lastModifiedBy>
  <cp:revision>4</cp:revision>
  <cp:lastPrinted>2019-03-19T14:53:00Z</cp:lastPrinted>
  <dcterms:created xsi:type="dcterms:W3CDTF">2023-03-21T11:29:00Z</dcterms:created>
  <dcterms:modified xsi:type="dcterms:W3CDTF">2024-03-29T08:42:00Z</dcterms:modified>
</cp:coreProperties>
</file>