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7A0B" w:rsidR="00117C58" w:rsidP="00117C58" w:rsidRDefault="00117C58" w14:paraId="7DB483BB" w14:textId="3A29714F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bookmarkStart w:name="_Toc416693506" w:id="0"/>
      <w:r w:rsidRPr="003D7A0B">
        <w:rPr>
          <w:rFonts w:asciiTheme="minorHAnsi" w:hAnsiTheme="minorHAnsi" w:eastAsiaTheme="minorEastAsia"/>
          <w:b/>
          <w:bCs/>
        </w:rPr>
        <w:t xml:space="preserve">Uchwała nr </w:t>
      </w:r>
      <w:r w:rsidR="009A54D1">
        <w:rPr>
          <w:rFonts w:asciiTheme="minorHAnsi" w:hAnsiTheme="minorHAnsi" w:eastAsiaTheme="minorEastAsia"/>
          <w:b/>
          <w:bCs/>
        </w:rPr>
        <w:t>15</w:t>
      </w:r>
      <w:r w:rsidR="00D60635">
        <w:rPr>
          <w:rFonts w:asciiTheme="minorHAnsi" w:hAnsiTheme="minorHAnsi" w:eastAsiaTheme="minorEastAsia"/>
          <w:b/>
          <w:bCs/>
        </w:rPr>
        <w:t>2</w:t>
      </w:r>
    </w:p>
    <w:p w:rsidRPr="003D7A0B" w:rsidR="00117C58" w:rsidP="00117C58" w:rsidRDefault="00117C58" w14:paraId="112EA708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3D7A0B">
        <w:rPr>
          <w:rFonts w:asciiTheme="minorHAnsi" w:hAnsiTheme="minorHAnsi" w:eastAsiaTheme="minorEastAsia"/>
          <w:b/>
          <w:bCs/>
        </w:rPr>
        <w:t>Komitetu Monitorującego</w:t>
      </w:r>
    </w:p>
    <w:p w:rsidRPr="003D7A0B" w:rsidR="00117C58" w:rsidP="00117C58" w:rsidRDefault="00117C58" w14:paraId="45CA8864" w14:textId="77777777">
      <w:pPr>
        <w:spacing w:after="120" w:line="360" w:lineRule="auto"/>
        <w:jc w:val="center"/>
        <w:rPr>
          <w:rFonts w:asciiTheme="minorHAnsi" w:hAnsiTheme="minorHAnsi" w:eastAsiaTheme="minorEastAsia"/>
          <w:b/>
          <w:bCs/>
        </w:rPr>
      </w:pPr>
      <w:r w:rsidRPr="003D7A0B">
        <w:rPr>
          <w:rFonts w:asciiTheme="minorHAnsi" w:hAnsiTheme="minorHAnsi" w:eastAsiaTheme="minorEastAsia"/>
          <w:b/>
          <w:bCs/>
        </w:rPr>
        <w:t>program Fundusze Europejskie dla Śląskiego 2021- 2027</w:t>
      </w:r>
    </w:p>
    <w:p w:rsidRPr="003D7A0B" w:rsidR="00117C58" w:rsidP="4D493CF8" w:rsidRDefault="00117C58" w14:paraId="05DF3DCC" w14:textId="5CA5BC76">
      <w:pPr>
        <w:spacing w:after="120" w:line="360" w:lineRule="auto"/>
        <w:jc w:val="center"/>
        <w:rPr>
          <w:rFonts w:ascii="Calibri" w:hAnsi="Calibri" w:eastAsia="游明朝" w:asciiTheme="minorAscii" w:hAnsiTheme="minorAscii" w:eastAsiaTheme="minorEastAsia"/>
          <w:b w:val="1"/>
          <w:bCs w:val="1"/>
        </w:rPr>
      </w:pPr>
      <w:r w:rsidRPr="4D493CF8" w:rsidR="00117C58">
        <w:rPr>
          <w:rFonts w:ascii="Calibri" w:hAnsi="Calibri" w:eastAsia="游明朝" w:asciiTheme="minorAscii" w:hAnsiTheme="minorAscii" w:eastAsiaTheme="minorEastAsia"/>
          <w:b w:val="1"/>
          <w:bCs w:val="1"/>
        </w:rPr>
        <w:t xml:space="preserve">z dnia </w:t>
      </w:r>
      <w:r w:rsidRPr="4D493CF8" w:rsidR="009A54D1">
        <w:rPr>
          <w:rFonts w:ascii="Calibri" w:hAnsi="Calibri" w:eastAsia="游明朝" w:asciiTheme="minorAscii" w:hAnsiTheme="minorAscii" w:eastAsiaTheme="minorEastAsia"/>
          <w:b w:val="1"/>
          <w:bCs w:val="1"/>
        </w:rPr>
        <w:t xml:space="preserve">29 października </w:t>
      </w:r>
      <w:r w:rsidRPr="4D493CF8" w:rsidR="009A54D1">
        <w:rPr>
          <w:rFonts w:ascii="Calibri" w:hAnsi="Calibri" w:eastAsia="游明朝" w:asciiTheme="minorAscii" w:hAnsiTheme="minorAscii" w:eastAsiaTheme="minorEastAsia"/>
          <w:b w:val="1"/>
          <w:bCs w:val="1"/>
        </w:rPr>
        <w:t>2024</w:t>
      </w:r>
      <w:r w:rsidRPr="4D493CF8" w:rsidR="6579D321">
        <w:rPr>
          <w:rFonts w:ascii="Calibri" w:hAnsi="Calibri" w:eastAsia="游明朝" w:asciiTheme="minorAscii" w:hAnsiTheme="minorAscii" w:eastAsiaTheme="minorEastAsia"/>
          <w:b w:val="1"/>
          <w:bCs w:val="1"/>
        </w:rPr>
        <w:t xml:space="preserve"> </w:t>
      </w:r>
      <w:r w:rsidRPr="4D493CF8" w:rsidR="009A54D1">
        <w:rPr>
          <w:rFonts w:ascii="Calibri" w:hAnsi="Calibri" w:eastAsia="游明朝" w:asciiTheme="minorAscii" w:hAnsiTheme="minorAscii" w:eastAsiaTheme="minorEastAsia"/>
          <w:b w:val="1"/>
          <w:bCs w:val="1"/>
        </w:rPr>
        <w:t>r.</w:t>
      </w:r>
    </w:p>
    <w:p w:rsidRPr="003D7A0B" w:rsidR="00117C58" w:rsidP="00117C58" w:rsidRDefault="00117C58" w14:paraId="605269F0" w14:textId="77777777">
      <w:pPr>
        <w:spacing w:after="120" w:line="360" w:lineRule="auto"/>
        <w:jc w:val="center"/>
        <w:rPr>
          <w:rFonts w:asciiTheme="minorHAnsi" w:hAnsiTheme="minorHAnsi" w:eastAsiaTheme="minorEastAsia"/>
          <w:bCs/>
        </w:rPr>
      </w:pPr>
      <w:r w:rsidRPr="003D7A0B">
        <w:rPr>
          <w:rFonts w:asciiTheme="minorHAnsi" w:hAnsiTheme="minorHAnsi" w:eastAsiaTheme="minorEastAsia"/>
          <w:bCs/>
        </w:rPr>
        <w:t>w sprawie</w:t>
      </w:r>
    </w:p>
    <w:p w:rsidRPr="003D7A0B" w:rsidR="00117C58" w:rsidP="00117C58" w:rsidRDefault="00117C58" w14:paraId="7F5527F4" w14:textId="46C6ACEE">
      <w:pPr>
        <w:pStyle w:val="Default"/>
        <w:spacing w:line="360" w:lineRule="auto"/>
        <w:jc w:val="center"/>
        <w:rPr>
          <w:rFonts w:asciiTheme="minorHAnsi" w:hAnsiTheme="minorHAnsi" w:eastAsiaTheme="minorEastAsia"/>
          <w:b/>
          <w:bCs/>
          <w:i/>
          <w:iCs/>
          <w:color w:val="000000" w:themeColor="text1"/>
        </w:rPr>
      </w:pPr>
      <w:r w:rsidRPr="003D7A0B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zmiany metodyki stosowanej przy wyborze projektów w ramach działań FE SL 2021-2027 wdrażanych przez Departament Europejskiego Funduszu Społecznego</w:t>
      </w:r>
    </w:p>
    <w:p w:rsidRPr="003D7A0B" w:rsidR="00117C58" w:rsidP="00117C58" w:rsidRDefault="00117C58" w14:paraId="00EAC849" w14:textId="77777777">
      <w:pPr>
        <w:jc w:val="both"/>
        <w:rPr>
          <w:rFonts w:asciiTheme="minorHAnsi" w:hAnsiTheme="minorHAnsi" w:eastAsiaTheme="minorEastAsia"/>
          <w:i/>
          <w:iCs/>
          <w:color w:val="000000" w:themeColor="text1"/>
          <w:sz w:val="18"/>
          <w:szCs w:val="18"/>
        </w:rPr>
      </w:pPr>
    </w:p>
    <w:p w:rsidRPr="003D7A0B" w:rsidR="00117C58" w:rsidP="00117C58" w:rsidRDefault="00117C58" w14:paraId="4A1249BF" w14:textId="77777777">
      <w:pPr>
        <w:spacing w:line="360" w:lineRule="auto"/>
        <w:jc w:val="both"/>
        <w:rPr>
          <w:rFonts w:asciiTheme="minorHAnsi" w:hAnsiTheme="minorHAnsi" w:eastAsiaTheme="minorEastAsia"/>
          <w:i/>
          <w:iCs/>
          <w:color w:val="000000" w:themeColor="text1"/>
        </w:rPr>
      </w:pPr>
      <w:r w:rsidRPr="003D7A0B">
        <w:rPr>
          <w:rFonts w:asciiTheme="minorHAnsi" w:hAnsiTheme="minorHAnsi" w:eastAsiaTheme="minorEastAsia"/>
          <w:i/>
          <w:iCs/>
          <w:color w:val="000000" w:themeColor="text1"/>
        </w:rPr>
        <w:t xml:space="preserve"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</w:t>
      </w:r>
      <w:r w:rsidRPr="003D7A0B">
        <w:rPr>
          <w:color w:val="000000" w:themeColor="text1"/>
        </w:rPr>
        <w:br/>
      </w:r>
      <w:r w:rsidRPr="003D7A0B">
        <w:rPr>
          <w:rFonts w:asciiTheme="minorHAnsi" w:hAnsiTheme="minorHAnsi" w:eastAsiaTheme="minorEastAsia"/>
          <w:i/>
          <w:iCs/>
          <w:color w:val="000000" w:themeColor="text1"/>
        </w:rPr>
        <w:t>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:rsidRPr="003D7A0B" w:rsidR="00117C58" w:rsidP="00117C58" w:rsidRDefault="00117C58" w14:paraId="3AA40B31" w14:textId="77777777">
      <w:pPr>
        <w:spacing w:before="120" w:after="120"/>
        <w:jc w:val="center"/>
        <w:rPr>
          <w:rFonts w:asciiTheme="minorHAnsi" w:hAnsiTheme="minorHAnsi" w:eastAsiaTheme="minorEastAsia"/>
          <w:color w:val="000000" w:themeColor="text1"/>
        </w:rPr>
      </w:pPr>
    </w:p>
    <w:p w:rsidRPr="003D7A0B" w:rsidR="00117C58" w:rsidP="00117C58" w:rsidRDefault="00117C58" w14:paraId="424E1DD5" w14:textId="77777777">
      <w:pPr>
        <w:spacing w:before="120" w:after="120"/>
        <w:jc w:val="center"/>
        <w:rPr>
          <w:rFonts w:asciiTheme="minorHAnsi" w:hAnsiTheme="minorHAnsi" w:eastAsiaTheme="minorEastAsia"/>
          <w:color w:val="000000" w:themeColor="text1"/>
        </w:rPr>
      </w:pPr>
      <w:r w:rsidRPr="003D7A0B">
        <w:rPr>
          <w:rFonts w:asciiTheme="minorHAnsi" w:hAnsiTheme="minorHAnsi" w:eastAsiaTheme="minorEastAsia"/>
          <w:color w:val="000000" w:themeColor="text1"/>
        </w:rPr>
        <w:t>§ 1</w:t>
      </w:r>
    </w:p>
    <w:p w:rsidRPr="003D7A0B" w:rsidR="00117C58" w:rsidP="00117C58" w:rsidRDefault="00117C58" w14:paraId="49DB55B6" w14:textId="681EAD8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Theme="minorHAnsi" w:hAnsiTheme="minorHAnsi" w:eastAsiaTheme="minorEastAsia"/>
          <w:color w:val="000000" w:themeColor="text1"/>
        </w:rPr>
      </w:pPr>
      <w:r w:rsidRPr="003D7A0B">
        <w:rPr>
          <w:rStyle w:val="Pogrubienie"/>
          <w:rFonts w:asciiTheme="minorHAnsi" w:hAnsiTheme="minorHAnsi" w:eastAsiaTheme="minorEastAsia"/>
          <w:b w:val="0"/>
          <w:bCs w:val="0"/>
          <w:color w:val="000000" w:themeColor="text1"/>
        </w:rPr>
        <w:t xml:space="preserve">Zmienia się </w:t>
      </w:r>
      <w:r w:rsidRPr="003D7A0B">
        <w:rPr>
          <w:rFonts w:asciiTheme="minorHAnsi" w:hAnsiTheme="minorHAnsi" w:eastAsiaTheme="minorEastAsia" w:cstheme="minorBidi"/>
          <w:color w:val="000000" w:themeColor="text1"/>
        </w:rPr>
        <w:t>metodykę stosowaną przy wyborze projektów w ramach działań FE SL 2021-2027 wdrażanych przez Departament Europejskiego Funduszu Społecznego</w:t>
      </w:r>
      <w:r w:rsidRPr="003D7A0B">
        <w:rPr>
          <w:rFonts w:asciiTheme="minorHAnsi" w:hAnsiTheme="minorHAnsi" w:eastAsiaTheme="minorEastAsia"/>
          <w:color w:val="000000" w:themeColor="text1"/>
        </w:rPr>
        <w:t xml:space="preserve"> poprzez zmianę uchwały nr 2 </w:t>
      </w:r>
      <w:r w:rsidRPr="003D7A0B">
        <w:rPr>
          <w:rFonts w:asciiTheme="minorHAnsi" w:hAnsiTheme="minorHAnsi" w:eastAsiaTheme="minorEastAsia" w:cstheme="minorBidi"/>
          <w:color w:val="000000" w:themeColor="text1"/>
        </w:rPr>
        <w:t xml:space="preserve">Komitetu Monitorującego program Fundusze Europejskie dla Śląskiego </w:t>
      </w:r>
      <w:r w:rsidRPr="003D7A0B">
        <w:rPr>
          <w:rStyle w:val="Pogrubienie"/>
          <w:rFonts w:asciiTheme="minorHAnsi" w:hAnsiTheme="minorHAnsi" w:eastAsiaTheme="minorEastAsia" w:cstheme="minorBidi"/>
          <w:b w:val="0"/>
          <w:bCs w:val="0"/>
          <w:color w:val="000000" w:themeColor="text1"/>
        </w:rPr>
        <w:t>2021-2027 z dnia 28 marca 2023 roku polegającą na korekcie zapisów</w:t>
      </w:r>
      <w:r w:rsidRPr="003D7A0B">
        <w:rPr>
          <w:rFonts w:asciiTheme="minorHAnsi" w:hAnsiTheme="minorHAnsi" w:eastAsiaTheme="minorEastAsia"/>
          <w:color w:val="000000" w:themeColor="text1"/>
        </w:rPr>
        <w:t>.</w:t>
      </w:r>
    </w:p>
    <w:p w:rsidRPr="003D7A0B" w:rsidR="003E53D5" w:rsidP="003E53D5" w:rsidRDefault="003E53D5" w14:paraId="13644D9B" w14:textId="77777777">
      <w:pPr>
        <w:pStyle w:val="Akapitzlist"/>
        <w:numPr>
          <w:ilvl w:val="0"/>
          <w:numId w:val="39"/>
        </w:numPr>
        <w:spacing w:line="360" w:lineRule="auto"/>
        <w:contextualSpacing w:val="0"/>
        <w:jc w:val="both"/>
        <w:rPr>
          <w:rFonts w:eastAsia="Times New Roman" w:asciiTheme="minorHAnsi" w:hAnsiTheme="minorHAnsi" w:cstheme="minorHAnsi"/>
          <w:i/>
          <w:iCs/>
        </w:rPr>
      </w:pPr>
      <w:r w:rsidRPr="003D7A0B">
        <w:rPr>
          <w:rFonts w:asciiTheme="minorHAnsi" w:hAnsiTheme="minorHAnsi" w:cstheme="minorHAnsi"/>
        </w:rPr>
        <w:t>Metodyka wyboru projektów stanowi załącznik do niniejszej uchwały.</w:t>
      </w:r>
    </w:p>
    <w:p w:rsidRPr="003D7A0B" w:rsidR="00117C58" w:rsidP="00117C58" w:rsidRDefault="00117C58" w14:paraId="430DABE9" w14:textId="77777777">
      <w:pPr>
        <w:pStyle w:val="Akapitzlist"/>
        <w:tabs>
          <w:tab w:val="left" w:pos="4253"/>
        </w:tabs>
        <w:ind w:left="3540" w:firstLine="708"/>
        <w:rPr>
          <w:rFonts w:asciiTheme="minorHAnsi" w:hAnsiTheme="minorHAnsi" w:eastAsiaTheme="minorEastAsia"/>
          <w:color w:val="000000" w:themeColor="text1"/>
        </w:rPr>
      </w:pPr>
      <w:r w:rsidRPr="003D7A0B">
        <w:rPr>
          <w:rFonts w:asciiTheme="minorHAnsi" w:hAnsiTheme="minorHAnsi" w:eastAsiaTheme="minorEastAsia"/>
          <w:color w:val="000000" w:themeColor="text1"/>
        </w:rPr>
        <w:t xml:space="preserve"> § 2</w:t>
      </w:r>
    </w:p>
    <w:p w:rsidRPr="003D7A0B" w:rsidR="00117C58" w:rsidP="00117C58" w:rsidRDefault="00117C58" w14:paraId="7E88D70B" w14:textId="77777777">
      <w:pPr>
        <w:spacing w:before="120" w:after="120"/>
        <w:rPr>
          <w:rFonts w:asciiTheme="minorHAnsi" w:hAnsiTheme="minorHAnsi" w:eastAsiaTheme="minorEastAsia"/>
        </w:rPr>
      </w:pPr>
      <w:r w:rsidRPr="152EADB8" w:rsidR="00117C58">
        <w:rPr>
          <w:rFonts w:ascii="Calibri" w:hAnsi="Calibri" w:eastAsia="游明朝" w:asciiTheme="minorAscii" w:hAnsiTheme="minorAscii" w:eastAsiaTheme="minorEastAsia"/>
        </w:rPr>
        <w:t>Uchwała wchodzi w życie z dniem podjęcia.</w:t>
      </w:r>
      <w:bookmarkEnd w:id="0"/>
    </w:p>
    <w:p w:rsidR="2D8B3957" w:rsidP="152EADB8" w:rsidRDefault="2D8B3957" w14:paraId="79A1CB96" w14:textId="2E87C9D3">
      <w:pPr>
        <w:pStyle w:val="NormalnyWeb"/>
        <w:spacing w:beforeAutospacing="on" w:after="200" w:afterAutospacing="on" w:line="276" w:lineRule="auto"/>
        <w:ind w:left="3540" w:right="1275" w:firstLine="708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152EADB8" w:rsidR="2D8B395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>Zastępca Przewodniczącego KM</w:t>
      </w:r>
    </w:p>
    <w:p w:rsidR="2D8B3957" w:rsidP="152EADB8" w:rsidRDefault="2D8B3957" w14:paraId="5B6B74D5" w14:textId="13BB2465">
      <w:pPr>
        <w:pStyle w:val="NormalnyWeb"/>
        <w:spacing w:beforeAutospacing="on" w:after="200" w:afterAutospacing="on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152EADB8" w:rsidR="2D8B395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                                                                                         FE SL 2021-2027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2D8B3957" w:rsidP="152EADB8" w:rsidRDefault="2D8B3957" w14:paraId="53023813" w14:textId="61DE93F2">
      <w:pPr>
        <w:pStyle w:val="NormalnyWeb"/>
        <w:keepNext w:val="1"/>
        <w:spacing w:before="240" w:beforeAutospacing="on" w:after="60" w:afterAutospacing="on" w:line="276" w:lineRule="auto"/>
        <w:ind w:left="4248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152EADB8" w:rsidR="2D8B395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          Małgorzata Staś</w:t>
      </w:r>
    </w:p>
    <w:p w:rsidR="152EADB8" w:rsidP="152EADB8" w:rsidRDefault="152EADB8" w14:paraId="50F96E01" w14:textId="1B65B434">
      <w:pPr>
        <w:ind w:left="5954"/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</w:rPr>
      </w:pPr>
    </w:p>
    <w:p w:rsidRPr="003D7A0B" w:rsidR="00117C58" w:rsidP="00117C58" w:rsidRDefault="00117C58" w14:paraId="6C4A8B5C" w14:textId="77777777">
      <w:pPr>
        <w:pStyle w:val="NormalnyWeb"/>
        <w:spacing w:line="276" w:lineRule="auto"/>
        <w:ind w:left="4248"/>
        <w:jc w:val="center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3D7A0B" w:rsidR="003E53D5" w:rsidP="00117C58" w:rsidRDefault="003E53D5" w14:paraId="1710FC9B" w14:textId="77777777" w14:noSpellErr="1">
      <w:pPr>
        <w:rPr>
          <w:rFonts w:cs="Calibri"/>
          <w:sz w:val="24"/>
          <w:szCs w:val="24"/>
        </w:rPr>
      </w:pPr>
    </w:p>
    <w:p w:rsidR="74A70ACB" w:rsidP="74A70ACB" w:rsidRDefault="74A70ACB" w14:paraId="55E847B5" w14:textId="0ECCA3B8">
      <w:pPr>
        <w:rPr>
          <w:rFonts w:cs="Calibri"/>
          <w:sz w:val="24"/>
          <w:szCs w:val="24"/>
        </w:rPr>
      </w:pPr>
    </w:p>
    <w:p w:rsidRPr="003D7A0B" w:rsidR="00EA17AD" w:rsidP="00117C58" w:rsidRDefault="00EA17AD" w14:paraId="7B7433FA" w14:textId="24297C02">
      <w:pPr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lastRenderedPageBreak/>
        <w:t>Załącznik do Uchwały nr</w:t>
      </w:r>
      <w:r w:rsidRPr="003D7A0B" w:rsidR="003D1A32">
        <w:rPr>
          <w:rFonts w:cs="Calibri"/>
          <w:sz w:val="24"/>
          <w:szCs w:val="24"/>
        </w:rPr>
        <w:t xml:space="preserve"> </w:t>
      </w:r>
      <w:r w:rsidR="008D0481">
        <w:rPr>
          <w:rFonts w:cs="Calibri"/>
          <w:sz w:val="24"/>
          <w:szCs w:val="24"/>
        </w:rPr>
        <w:t>152</w:t>
      </w:r>
    </w:p>
    <w:p w:rsidRPr="003D7A0B" w:rsidR="00EA17AD" w:rsidP="00F83CB9" w:rsidRDefault="005B44D6" w14:paraId="33FAF482" w14:textId="1D3A0E5D">
      <w:pPr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Komitetu Monitorującego p</w:t>
      </w:r>
      <w:r w:rsidRPr="003D7A0B" w:rsidR="00EA17AD">
        <w:rPr>
          <w:rFonts w:cs="Calibri"/>
          <w:sz w:val="24"/>
          <w:szCs w:val="24"/>
        </w:rPr>
        <w:t>rogram Fundusze Europejskie dla Śląskiego 2021-2027</w:t>
      </w:r>
    </w:p>
    <w:p w:rsidRPr="003D7A0B" w:rsidR="00EA17AD" w:rsidP="00F83CB9" w:rsidRDefault="00EA17AD" w14:paraId="5F8D6337" w14:textId="654A632C">
      <w:pPr>
        <w:spacing w:after="3800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 xml:space="preserve">z </w:t>
      </w:r>
      <w:r w:rsidR="008D0481">
        <w:rPr>
          <w:sz w:val="24"/>
          <w:szCs w:val="24"/>
        </w:rPr>
        <w:t>dnia 29 października 2024 r.</w:t>
      </w:r>
    </w:p>
    <w:p w:rsidRPr="003D7A0B" w:rsidR="00EA17AD" w:rsidP="005277E2" w:rsidRDefault="00EA17AD" w14:paraId="593995DF" w14:textId="27F45770">
      <w:pPr>
        <w:spacing w:after="600" w:line="360" w:lineRule="auto"/>
        <w:jc w:val="center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PROGRAM FUNDUSZE EUROPEJSKIE DLA ŚLĄSKIEGO 2021-2027</w:t>
      </w:r>
    </w:p>
    <w:p w:rsidRPr="003D7A0B" w:rsidR="00EA17AD" w:rsidP="005277E2" w:rsidRDefault="00EA17AD" w14:paraId="11377D3B" w14:textId="77777777">
      <w:pPr>
        <w:pStyle w:val="Tytu"/>
        <w:rPr>
          <w:b/>
          <w:sz w:val="36"/>
          <w:szCs w:val="36"/>
        </w:rPr>
      </w:pPr>
      <w:r w:rsidRPr="003D7A0B">
        <w:rPr>
          <w:b/>
          <w:sz w:val="36"/>
          <w:szCs w:val="36"/>
        </w:rPr>
        <w:t>Metodyka wyboru projektów w ramach działań FE SL 2021-2027 wdrażanych przez Departament Europejskiego Funduszu Społecznego</w:t>
      </w:r>
    </w:p>
    <w:p w:rsidRPr="003D7A0B" w:rsidR="00EA17AD" w:rsidP="003214DA" w:rsidRDefault="00260D83" w14:paraId="0C6C42F4" w14:textId="1EAA92AC">
      <w:pPr>
        <w:spacing w:after="0" w:line="360" w:lineRule="auto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br w:type="page"/>
      </w:r>
      <w:r w:rsidRPr="003D7A0B" w:rsidR="00EA17AD">
        <w:rPr>
          <w:rFonts w:cs="Calibri"/>
          <w:sz w:val="24"/>
          <w:szCs w:val="24"/>
        </w:rPr>
        <w:lastRenderedPageBreak/>
        <w:t>W ramach działań wdrażanych przez Departament Europejskiego Funduszu Społecznego w programie Fundusze Europejskie dla Śląskiego 2021-2027, stosowane będą następujące rodzaje kryteriów:</w:t>
      </w:r>
    </w:p>
    <w:p w:rsidRPr="003D7A0B" w:rsidR="005277E2" w:rsidP="00FD2D36" w:rsidRDefault="005277E2" w14:paraId="069F2FC4" w14:textId="3BECDEA4">
      <w:pPr>
        <w:pStyle w:val="Nagwek1"/>
        <w:numPr>
          <w:ilvl w:val="0"/>
          <w:numId w:val="38"/>
        </w:numPr>
        <w:rPr>
          <w:b/>
          <w:color w:val="000000" w:themeColor="text1"/>
          <w:sz w:val="28"/>
          <w:szCs w:val="28"/>
        </w:rPr>
      </w:pPr>
      <w:r w:rsidRPr="003D7A0B">
        <w:rPr>
          <w:b/>
          <w:color w:val="000000" w:themeColor="text1"/>
          <w:sz w:val="28"/>
          <w:szCs w:val="28"/>
        </w:rPr>
        <w:t>Kryteria ogólne</w:t>
      </w:r>
    </w:p>
    <w:p w:rsidRPr="003D7A0B" w:rsidR="005277E2" w:rsidP="005277E2" w:rsidRDefault="005277E2" w14:paraId="434EF174" w14:textId="66DB08B6">
      <w:pPr>
        <w:pStyle w:val="Akapitzlist"/>
        <w:spacing w:line="360" w:lineRule="auto"/>
        <w:ind w:left="142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Ustalane są dla wszystkich działań wdrażanych przez Departament Europejskiego Funduszu Społecznego</w:t>
      </w:r>
      <w:r w:rsidRPr="003D7A0B" w:rsidR="00160A3F">
        <w:rPr>
          <w:rStyle w:val="Odwoanieprzypisudolnego"/>
          <w:rFonts w:cs="Calibri"/>
          <w:sz w:val="24"/>
          <w:szCs w:val="24"/>
        </w:rPr>
        <w:footnoteReference w:id="1"/>
      </w:r>
      <w:r w:rsidRPr="003D7A0B">
        <w:rPr>
          <w:rFonts w:cs="Calibri"/>
          <w:sz w:val="24"/>
          <w:szCs w:val="24"/>
        </w:rPr>
        <w:t>. Istnieje możliwość przyjęcia kryteriów stosowanych tylko w przypadku konkurencyjnego lub niekonkurencyjnego sposobu wyboru projektów oraz różnicowania kryteriów ogólnych ze względu na fundusz, z którego finansowane są projekty w danym działaniu.</w:t>
      </w:r>
    </w:p>
    <w:p w:rsidRPr="003D7A0B" w:rsidR="005277E2" w:rsidP="005277E2" w:rsidRDefault="005277E2" w14:paraId="32FCD404" w14:textId="4691C409">
      <w:pPr>
        <w:pStyle w:val="Akapitzlist"/>
        <w:spacing w:after="720" w:line="360" w:lineRule="auto"/>
        <w:ind w:left="142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kryteria ogólne"/>
      </w:tblPr>
      <w:tblGrid>
        <w:gridCol w:w="3020"/>
        <w:gridCol w:w="3921"/>
        <w:gridCol w:w="2121"/>
      </w:tblGrid>
      <w:tr w:rsidRPr="003D7A0B" w:rsidR="00EA17AD" w:rsidTr="001A0D18" w14:paraId="7B22B382" w14:textId="77777777">
        <w:tc>
          <w:tcPr>
            <w:tcW w:w="3020" w:type="dxa"/>
          </w:tcPr>
          <w:p w:rsidRPr="003D7A0B" w:rsidR="00EA17AD" w:rsidP="009071B1" w:rsidRDefault="00944399" w14:paraId="5AF02BC8" w14:textId="661A25FD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1.1 </w:t>
            </w:r>
            <w:r w:rsidRPr="003D7A0B" w:rsidR="00EA17AD">
              <w:rPr>
                <w:rFonts w:ascii="Calibri" w:hAnsi="Calibri" w:cs="Calibri"/>
                <w:sz w:val="24"/>
                <w:szCs w:val="24"/>
              </w:rPr>
              <w:t>Kryteria ogólne formalne</w:t>
            </w:r>
          </w:p>
        </w:tc>
        <w:tc>
          <w:tcPr>
            <w:tcW w:w="3921" w:type="dxa"/>
          </w:tcPr>
          <w:p w:rsidRPr="003D7A0B" w:rsidR="00EA17AD" w:rsidP="005277E2" w:rsidRDefault="00EA17AD" w14:paraId="4ACC87F9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EA17AD" w:rsidP="005277E2" w:rsidRDefault="00EA17AD" w14:paraId="23894003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:rsidRPr="003D7A0B" w:rsidR="00EA17AD" w:rsidP="005277E2" w:rsidRDefault="00EA17AD" w14:paraId="636983C9" w14:textId="77777777">
            <w:pPr>
              <w:pStyle w:val="Akapitzlist"/>
              <w:numPr>
                <w:ilvl w:val="0"/>
                <w:numId w:val="33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</w:t>
            </w:r>
          </w:p>
        </w:tc>
        <w:tc>
          <w:tcPr>
            <w:tcW w:w="2121" w:type="dxa"/>
          </w:tcPr>
          <w:p w:rsidRPr="003D7A0B" w:rsidR="00EA17AD" w:rsidP="005277E2" w:rsidRDefault="00EA17AD" w14:paraId="61F1A7E9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EA17AD" w:rsidP="005277E2" w:rsidRDefault="00EA17AD" w14:paraId="0EC37315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EA17AD" w:rsidTr="001A0D18" w14:paraId="6DC2BE1A" w14:textId="77777777">
        <w:tc>
          <w:tcPr>
            <w:tcW w:w="3020" w:type="dxa"/>
          </w:tcPr>
          <w:p w:rsidRPr="003D7A0B" w:rsidR="00EA17AD" w:rsidP="003214DA" w:rsidRDefault="00FD2D36" w14:paraId="209A52D5" w14:textId="14CDCFB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1.2 </w:t>
            </w:r>
            <w:r w:rsidRPr="003D7A0B" w:rsidR="00EA17AD">
              <w:rPr>
                <w:rFonts w:ascii="Calibri" w:hAnsi="Calibri" w:cs="Calibri"/>
                <w:sz w:val="24"/>
                <w:szCs w:val="24"/>
              </w:rPr>
              <w:t>Kryteria ogólne merytoryczne (zerojedynkowe)</w:t>
            </w:r>
          </w:p>
        </w:tc>
        <w:tc>
          <w:tcPr>
            <w:tcW w:w="3921" w:type="dxa"/>
          </w:tcPr>
          <w:p w:rsidRPr="003D7A0B" w:rsidR="00EA17AD" w:rsidP="005277E2" w:rsidRDefault="00EA17AD" w14:paraId="5B687897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EA17AD" w:rsidP="005277E2" w:rsidRDefault="00EA17AD" w14:paraId="51E71012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:rsidRPr="003D7A0B" w:rsidR="00EA17AD" w:rsidP="005277E2" w:rsidRDefault="00EA17AD" w14:paraId="28606CDD" w14:textId="77777777">
            <w:pPr>
              <w:pStyle w:val="Akapitzlist"/>
              <w:numPr>
                <w:ilvl w:val="0"/>
                <w:numId w:val="35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:rsidRPr="003D7A0B" w:rsidR="00EA17AD" w:rsidP="005277E2" w:rsidRDefault="00EA17AD" w14:paraId="163D2A76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EA17AD" w:rsidP="005277E2" w:rsidRDefault="00EA17AD" w14:paraId="4392B1FB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EA17AD" w:rsidTr="001A0D18" w14:paraId="24B94287" w14:textId="77777777">
        <w:tc>
          <w:tcPr>
            <w:tcW w:w="3020" w:type="dxa"/>
          </w:tcPr>
          <w:p w:rsidRPr="003D7A0B" w:rsidR="00EA17AD" w:rsidP="003214DA" w:rsidRDefault="00FD2D36" w14:paraId="2538364D" w14:textId="3D643A90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1.3 </w:t>
            </w:r>
            <w:r w:rsidRPr="003D7A0B" w:rsidR="00EA17AD">
              <w:rPr>
                <w:rFonts w:ascii="Calibri" w:hAnsi="Calibri" w:cs="Calibri"/>
                <w:sz w:val="24"/>
                <w:szCs w:val="24"/>
              </w:rPr>
              <w:t>Kryteria ogólne merytoryczne (punktowe)</w:t>
            </w:r>
          </w:p>
        </w:tc>
        <w:tc>
          <w:tcPr>
            <w:tcW w:w="3921" w:type="dxa"/>
          </w:tcPr>
          <w:p w:rsidRPr="003D7A0B" w:rsidR="00EA17AD" w:rsidP="005277E2" w:rsidRDefault="00EA17AD" w14:paraId="7887DF91" w14:textId="77777777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:rsidRPr="003D7A0B" w:rsidR="00EA17AD" w:rsidP="005277E2" w:rsidRDefault="00EA17AD" w14:paraId="0F98B557" w14:textId="77777777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:rsidRPr="003D7A0B" w:rsidR="00EA17AD" w:rsidP="005277E2" w:rsidRDefault="00EA17AD" w14:paraId="7071813A" w14:textId="77777777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konieczne osiągnięcie minimum punktowego dla danego </w:t>
            </w: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>kryterium (jeśli zostało określone)</w:t>
            </w:r>
          </w:p>
        </w:tc>
        <w:tc>
          <w:tcPr>
            <w:tcW w:w="2121" w:type="dxa"/>
          </w:tcPr>
          <w:p w:rsidRPr="003D7A0B" w:rsidR="00EA17AD" w:rsidP="005277E2" w:rsidRDefault="00EA17AD" w14:paraId="4D7777DE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>Etap oceny:</w:t>
            </w:r>
          </w:p>
          <w:p w:rsidRPr="003D7A0B" w:rsidR="00EA17AD" w:rsidP="005277E2" w:rsidRDefault="00EA17AD" w14:paraId="7B3E6BC4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EA17AD" w:rsidTr="001A0D18" w14:paraId="1933C783" w14:textId="77777777">
        <w:tc>
          <w:tcPr>
            <w:tcW w:w="3020" w:type="dxa"/>
          </w:tcPr>
          <w:p w:rsidRPr="003D7A0B" w:rsidR="00EA17AD" w:rsidP="003214DA" w:rsidRDefault="00FD2D36" w14:paraId="2836C2B7" w14:textId="49276AA6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1.4 </w:t>
            </w:r>
            <w:r w:rsidRPr="003D7A0B" w:rsidR="00EA17AD">
              <w:rPr>
                <w:rFonts w:ascii="Calibri" w:hAnsi="Calibri" w:cs="Calibri"/>
                <w:sz w:val="24"/>
                <w:szCs w:val="24"/>
              </w:rPr>
              <w:t>Kryteria ogólne horyzontalne</w:t>
            </w:r>
          </w:p>
        </w:tc>
        <w:tc>
          <w:tcPr>
            <w:tcW w:w="3921" w:type="dxa"/>
          </w:tcPr>
          <w:p w:rsidRPr="003D7A0B" w:rsidR="00EA17AD" w:rsidP="005277E2" w:rsidRDefault="00EA17AD" w14:paraId="57D8BF0B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EA17AD" w:rsidP="005277E2" w:rsidRDefault="00EA17AD" w14:paraId="3125FDA9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:rsidRPr="003D7A0B" w:rsidR="00EA17AD" w:rsidP="005277E2" w:rsidRDefault="00EA17AD" w14:paraId="19810F1E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:rsidRPr="003D7A0B" w:rsidR="00EA17AD" w:rsidP="005277E2" w:rsidRDefault="00EA17AD" w14:paraId="072DB9C2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EA17AD" w:rsidP="005277E2" w:rsidRDefault="00EA17AD" w14:paraId="003C0260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EA17AD" w:rsidTr="001A0D18" w14:paraId="22832904" w14:textId="77777777">
        <w:tc>
          <w:tcPr>
            <w:tcW w:w="3020" w:type="dxa"/>
          </w:tcPr>
          <w:p w:rsidRPr="003D7A0B" w:rsidR="00EA17AD" w:rsidP="009071B1" w:rsidRDefault="00FD2D36" w14:paraId="7279ADA0" w14:textId="259417F8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1.5 </w:t>
            </w:r>
            <w:r w:rsidRPr="003D7A0B" w:rsidR="00EA17AD">
              <w:rPr>
                <w:rFonts w:ascii="Calibri" w:hAnsi="Calibri" w:cs="Calibri"/>
                <w:sz w:val="24"/>
                <w:szCs w:val="24"/>
              </w:rPr>
              <w:t>Kryterium ogólne negocjacyjne</w:t>
            </w:r>
          </w:p>
        </w:tc>
        <w:tc>
          <w:tcPr>
            <w:tcW w:w="3921" w:type="dxa"/>
          </w:tcPr>
          <w:p w:rsidRPr="003D7A0B" w:rsidR="00EA17AD" w:rsidP="005277E2" w:rsidRDefault="00EA17AD" w14:paraId="4106D4CF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EA17AD" w:rsidP="005277E2" w:rsidRDefault="00EA17AD" w14:paraId="3E1ED4A7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dotyczy projektów, które zostały skierowane do negocjacji</w:t>
            </w:r>
          </w:p>
          <w:p w:rsidRPr="003D7A0B" w:rsidR="00EA17AD" w:rsidP="005277E2" w:rsidRDefault="00EA17AD" w14:paraId="3FD0E123" w14:textId="77777777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dotyczy naborów niekonkurencyjnych</w:t>
            </w:r>
          </w:p>
        </w:tc>
        <w:tc>
          <w:tcPr>
            <w:tcW w:w="2121" w:type="dxa"/>
          </w:tcPr>
          <w:p w:rsidRPr="003D7A0B" w:rsidR="00EA17AD" w:rsidP="005277E2" w:rsidRDefault="00EA17AD" w14:paraId="4B59C6B8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EA17AD" w:rsidP="005277E2" w:rsidRDefault="00EA17AD" w14:paraId="4E2953DD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negocjacje</w:t>
            </w:r>
          </w:p>
        </w:tc>
      </w:tr>
    </w:tbl>
    <w:p w:rsidRPr="003D7A0B" w:rsidR="00D65C47" w:rsidP="005277E2" w:rsidRDefault="00D65C47" w14:paraId="6B699379" w14:textId="3CAE4088">
      <w:pPr>
        <w:spacing w:line="360" w:lineRule="auto"/>
        <w:rPr>
          <w:rFonts w:cs="Calibri"/>
          <w:bCs/>
          <w:sz w:val="24"/>
          <w:szCs w:val="24"/>
        </w:rPr>
      </w:pPr>
    </w:p>
    <w:p w:rsidRPr="003D7A0B" w:rsidR="005277E2" w:rsidP="00FD2D36" w:rsidRDefault="005277E2" w14:paraId="03EE7A93" w14:textId="71416D31">
      <w:pPr>
        <w:pStyle w:val="Nagwek1"/>
        <w:numPr>
          <w:ilvl w:val="0"/>
          <w:numId w:val="38"/>
        </w:numPr>
        <w:rPr>
          <w:b/>
          <w:bCs/>
          <w:color w:val="000000" w:themeColor="text1"/>
          <w:sz w:val="28"/>
          <w:szCs w:val="28"/>
        </w:rPr>
      </w:pPr>
      <w:r w:rsidRPr="003D7A0B">
        <w:rPr>
          <w:b/>
          <w:color w:val="000000" w:themeColor="text1"/>
          <w:sz w:val="28"/>
          <w:szCs w:val="28"/>
        </w:rPr>
        <w:t>Kryteria szczegółowe</w:t>
      </w:r>
    </w:p>
    <w:p w:rsidRPr="003D7A0B" w:rsidR="005277E2" w:rsidP="005277E2" w:rsidRDefault="005277E2" w14:paraId="5E4BD73B" w14:textId="0443CEFA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Ustalane odrębnie dla każdego działania lub typu projektu wdrażanego przez Departament Europejskiego Funduszu Społecznego</w:t>
      </w:r>
      <w:r w:rsidRPr="003D7A0B" w:rsidR="00160A3F">
        <w:rPr>
          <w:rStyle w:val="Odwoanieprzypisudolnego"/>
          <w:rFonts w:cs="Calibri"/>
          <w:sz w:val="24"/>
          <w:szCs w:val="24"/>
        </w:rPr>
        <w:footnoteReference w:id="2"/>
      </w:r>
      <w:r w:rsidRPr="003D7A0B">
        <w:rPr>
          <w:rFonts w:cs="Calibri"/>
          <w:sz w:val="24"/>
          <w:szCs w:val="24"/>
        </w:rPr>
        <w:t xml:space="preserve">. </w:t>
      </w:r>
    </w:p>
    <w:p w:rsidRPr="003D7A0B" w:rsidR="005277E2" w:rsidP="005277E2" w:rsidRDefault="005277E2" w14:paraId="3415AB16" w14:textId="1E8CD1F8">
      <w:pPr>
        <w:pStyle w:val="Akapitzlist"/>
        <w:spacing w:line="360" w:lineRule="auto"/>
        <w:ind w:left="0"/>
        <w:rPr>
          <w:rFonts w:cs="Calibri"/>
          <w:bCs/>
          <w:sz w:val="24"/>
          <w:szCs w:val="24"/>
        </w:rPr>
      </w:pPr>
      <w:r w:rsidRPr="003D7A0B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szczegółowe - podział"/>
        <w:tblDescription w:val=" Tabelka zawiera wyszczególnione kryteria szczegółowe"/>
      </w:tblPr>
      <w:tblGrid>
        <w:gridCol w:w="3020"/>
        <w:gridCol w:w="3921"/>
        <w:gridCol w:w="2121"/>
      </w:tblGrid>
      <w:tr w:rsidRPr="003D7A0B" w:rsidR="005277E2" w:rsidTr="006A4E3E" w14:paraId="1D19C869" w14:textId="77777777">
        <w:tc>
          <w:tcPr>
            <w:tcW w:w="3020" w:type="dxa"/>
          </w:tcPr>
          <w:p w:rsidRPr="003D7A0B" w:rsidR="005277E2" w:rsidP="003214DA" w:rsidRDefault="00FD2D36" w14:paraId="2BECC4C2" w14:textId="4C2AEFD7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2.1 </w:t>
            </w:r>
            <w:r w:rsidRPr="003D7A0B" w:rsidR="005277E2">
              <w:rPr>
                <w:rFonts w:ascii="Calibri" w:hAnsi="Calibri" w:cs="Calibri"/>
                <w:sz w:val="24"/>
                <w:szCs w:val="24"/>
              </w:rPr>
              <w:t>Kryteria szczegółowe dostępu</w:t>
            </w:r>
          </w:p>
        </w:tc>
        <w:tc>
          <w:tcPr>
            <w:tcW w:w="3921" w:type="dxa"/>
          </w:tcPr>
          <w:p w:rsidRPr="003D7A0B" w:rsidR="005277E2" w:rsidP="006A4E3E" w:rsidRDefault="005277E2" w14:paraId="35450A5D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5277E2" w:rsidP="006A4E3E" w:rsidRDefault="005277E2" w14:paraId="34AB5AFE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w ramach kryterium wskazuje się, czy podlega ono czy też nie podlega uzupełnieniom</w:t>
            </w:r>
          </w:p>
          <w:p w:rsidRPr="003D7A0B" w:rsidR="005277E2" w:rsidP="006A4E3E" w:rsidRDefault="005277E2" w14:paraId="2CCE8782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:rsidRPr="003D7A0B" w:rsidR="005277E2" w:rsidP="006A4E3E" w:rsidRDefault="005277E2" w14:paraId="0A3159C6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5277E2" w:rsidP="006A4E3E" w:rsidRDefault="005277E2" w14:paraId="224DC8B7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5277E2" w:rsidTr="006A4E3E" w14:paraId="6AFA36D7" w14:textId="77777777">
        <w:tc>
          <w:tcPr>
            <w:tcW w:w="3020" w:type="dxa"/>
          </w:tcPr>
          <w:p w:rsidRPr="003D7A0B" w:rsidR="005277E2" w:rsidP="009071B1" w:rsidRDefault="00FD2D36" w14:paraId="012A12E7" w14:textId="6BD37372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2.2 </w:t>
            </w:r>
            <w:r w:rsidRPr="003D7A0B" w:rsidR="005277E2">
              <w:rPr>
                <w:rFonts w:ascii="Calibri" w:hAnsi="Calibri" w:cs="Calibri"/>
                <w:sz w:val="24"/>
                <w:szCs w:val="24"/>
              </w:rPr>
              <w:t>Kryteria szczegółowe dodatkowe</w:t>
            </w:r>
          </w:p>
        </w:tc>
        <w:tc>
          <w:tcPr>
            <w:tcW w:w="3921" w:type="dxa"/>
          </w:tcPr>
          <w:p w:rsidRPr="003D7A0B" w:rsidR="005277E2" w:rsidP="006A4E3E" w:rsidRDefault="005277E2" w14:paraId="4623E895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:rsidRPr="003D7A0B" w:rsidR="005277E2" w:rsidP="006A4E3E" w:rsidRDefault="005277E2" w14:paraId="6A9E6C9A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:rsidRPr="003D7A0B" w:rsidR="005277E2" w:rsidP="006A4E3E" w:rsidRDefault="005277E2" w14:paraId="5AB93865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konieczne do spełnienia, mają za zadanie premiować ważne z punktu widzenia Programu działania</w:t>
            </w:r>
          </w:p>
          <w:p w:rsidRPr="003D7A0B" w:rsidR="005277E2" w:rsidP="006A4E3E" w:rsidRDefault="005277E2" w14:paraId="0EB55C7A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formułowane dla naborów niekonkurencyjnych</w:t>
            </w:r>
          </w:p>
          <w:p w:rsidRPr="003D7A0B" w:rsidR="005277E2" w:rsidP="006A4E3E" w:rsidRDefault="005277E2" w14:paraId="5EA9695E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muszą być przyjmowane dla każdego działania/typu projektu</w:t>
            </w:r>
          </w:p>
        </w:tc>
        <w:tc>
          <w:tcPr>
            <w:tcW w:w="2121" w:type="dxa"/>
          </w:tcPr>
          <w:p w:rsidRPr="003D7A0B" w:rsidR="005277E2" w:rsidP="006A4E3E" w:rsidRDefault="005277E2" w14:paraId="243C2C11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5277E2" w:rsidP="006A4E3E" w:rsidRDefault="005277E2" w14:paraId="337357C0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Pr="003D7A0B" w:rsidR="005277E2" w:rsidTr="006A4E3E" w14:paraId="3C332380" w14:textId="77777777">
        <w:tc>
          <w:tcPr>
            <w:tcW w:w="3020" w:type="dxa"/>
          </w:tcPr>
          <w:p w:rsidRPr="003D7A0B" w:rsidR="005277E2" w:rsidP="009071B1" w:rsidRDefault="00FD2D36" w14:paraId="1C16CAFF" w14:textId="09387B8F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2.3 </w:t>
            </w:r>
            <w:r w:rsidRPr="003D7A0B" w:rsidR="005277E2">
              <w:rPr>
                <w:rFonts w:ascii="Calibri" w:hAnsi="Calibri" w:cs="Calibri"/>
                <w:sz w:val="24"/>
                <w:szCs w:val="24"/>
              </w:rPr>
              <w:t>Kryteria szczegółowe strategiczne</w:t>
            </w:r>
          </w:p>
        </w:tc>
        <w:tc>
          <w:tcPr>
            <w:tcW w:w="3921" w:type="dxa"/>
          </w:tcPr>
          <w:p w:rsidRPr="003D7A0B" w:rsidR="005277E2" w:rsidP="006A4E3E" w:rsidRDefault="005277E2" w14:paraId="317659E7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przez porównanie wszystkich wniosków skierowanych do etapu oceny strategicznej przez panel członków KOP</w:t>
            </w:r>
          </w:p>
          <w:p w:rsidRPr="003D7A0B" w:rsidR="005277E2" w:rsidP="006A4E3E" w:rsidRDefault="005277E2" w14:paraId="2463AE6A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:rsidRPr="003D7A0B" w:rsidR="005277E2" w:rsidP="006A4E3E" w:rsidRDefault="005277E2" w14:paraId="1F26D487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konieczne do spełnienia, mają za zadanie uszeregowanie projektów w kontekście celu postępowania</w:t>
            </w:r>
          </w:p>
          <w:p w:rsidRPr="003D7A0B" w:rsidR="005277E2" w:rsidP="006A4E3E" w:rsidRDefault="005277E2" w14:paraId="2FB4057A" w14:textId="77777777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nie muszą być przyjmowane dla każdego działania/typu projektu </w:t>
            </w:r>
          </w:p>
        </w:tc>
        <w:tc>
          <w:tcPr>
            <w:tcW w:w="2121" w:type="dxa"/>
          </w:tcPr>
          <w:p w:rsidRPr="003D7A0B" w:rsidR="005277E2" w:rsidP="006A4E3E" w:rsidRDefault="005277E2" w14:paraId="2842E945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3D7A0B" w:rsidR="005277E2" w:rsidP="006A4E3E" w:rsidRDefault="005277E2" w14:paraId="29FBCEA4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strategiczna</w:t>
            </w:r>
          </w:p>
        </w:tc>
      </w:tr>
    </w:tbl>
    <w:p w:rsidRPr="003D7A0B" w:rsidR="005277E2" w:rsidP="005277E2" w:rsidRDefault="005277E2" w14:paraId="4B981B53" w14:textId="6C1A634C">
      <w:pPr>
        <w:spacing w:line="360" w:lineRule="auto"/>
        <w:rPr>
          <w:rFonts w:cs="Calibri"/>
          <w:bCs/>
          <w:sz w:val="24"/>
          <w:szCs w:val="24"/>
        </w:rPr>
      </w:pPr>
    </w:p>
    <w:p w:rsidRPr="003D7A0B" w:rsidR="00924455" w:rsidP="00924455" w:rsidRDefault="0027147B" w14:paraId="495654F5" w14:textId="704DF839">
      <w:pPr>
        <w:pStyle w:val="Nagwek1"/>
        <w:numPr>
          <w:ilvl w:val="0"/>
          <w:numId w:val="38"/>
        </w:numPr>
        <w:rPr>
          <w:b/>
          <w:color w:val="auto"/>
          <w:sz w:val="28"/>
          <w:szCs w:val="28"/>
        </w:rPr>
      </w:pPr>
      <w:r w:rsidRPr="003D7A0B">
        <w:rPr>
          <w:b/>
          <w:color w:val="auto"/>
          <w:sz w:val="28"/>
          <w:szCs w:val="28"/>
        </w:rPr>
        <w:t xml:space="preserve">Warunki udzielenia wsparcia </w:t>
      </w:r>
    </w:p>
    <w:p w:rsidRPr="003D7A0B" w:rsidR="00924455" w:rsidP="00924455" w:rsidRDefault="00924455" w14:paraId="71BC0666" w14:textId="77777777">
      <w:pPr>
        <w:pStyle w:val="Akapitzlist"/>
        <w:spacing w:line="360" w:lineRule="auto"/>
        <w:rPr>
          <w:sz w:val="24"/>
          <w:szCs w:val="24"/>
        </w:rPr>
      </w:pPr>
      <w:r w:rsidRPr="003D7A0B">
        <w:rPr>
          <w:sz w:val="24"/>
          <w:szCs w:val="24"/>
        </w:rPr>
        <w:t xml:space="preserve">Warunki udzielenia wsparcia ustalane są dla wszystkich działań wdrażanych przez Departament Europejskiego Funduszu Społecznego, w ramach których wdrażany jest instrument terytorialny Rozwój Lokalny kierowany przez Społeczność (RLKS). </w:t>
      </w:r>
    </w:p>
    <w:p w:rsidRPr="003D7A0B" w:rsidR="00924455" w:rsidP="00924455" w:rsidRDefault="00924455" w14:paraId="554E7DB3" w14:textId="77777777">
      <w:pPr>
        <w:spacing w:line="360" w:lineRule="auto"/>
        <w:rPr>
          <w:sz w:val="24"/>
          <w:szCs w:val="24"/>
        </w:rPr>
      </w:pPr>
    </w:p>
    <w:p w:rsidRPr="003D7A0B" w:rsidR="002D6A6E" w:rsidP="00924455" w:rsidRDefault="00924455" w14:paraId="6F30B4EE" w14:textId="4ADD11A9">
      <w:pPr>
        <w:spacing w:line="360" w:lineRule="auto"/>
        <w:rPr>
          <w:sz w:val="24"/>
          <w:szCs w:val="24"/>
        </w:rPr>
      </w:pPr>
      <w:r w:rsidRPr="74A70ACB" w:rsidR="00924455">
        <w:rPr>
          <w:sz w:val="24"/>
          <w:szCs w:val="24"/>
        </w:rPr>
        <w:t xml:space="preserve">W przypadku, gdy przewidziano, że warunki udzielenia wsparcia podlegają uzupełnieniom lub poprawie, przedmiotowe czynności dokonuje się podczas oceny formalno-merytorycznej, która dla instrumentu RLKS </w:t>
      </w:r>
      <w:r w:rsidRPr="74A70ACB" w:rsidR="00924455">
        <w:rPr>
          <w:sz w:val="24"/>
          <w:szCs w:val="24"/>
        </w:rPr>
        <w:t>oznacza potwierdzenie</w:t>
      </w:r>
      <w:r w:rsidRPr="74A70ACB" w:rsidR="00924455">
        <w:rPr>
          <w:sz w:val="24"/>
          <w:szCs w:val="24"/>
        </w:rPr>
        <w:t xml:space="preserve"> kwalifikowalności projektu, zgodnie z Ustawą o RLKS.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warunki udzielenia wsparcia"/>
      </w:tblPr>
      <w:tblGrid>
        <w:gridCol w:w="3020"/>
        <w:gridCol w:w="3921"/>
        <w:gridCol w:w="2121"/>
      </w:tblGrid>
      <w:tr w:rsidRPr="005277E2" w:rsidR="002D6A6E" w:rsidTr="00CF3262" w14:paraId="03883549" w14:textId="77777777">
        <w:tc>
          <w:tcPr>
            <w:tcW w:w="3020" w:type="dxa"/>
          </w:tcPr>
          <w:p w:rsidRPr="003D7A0B" w:rsidR="002D6A6E" w:rsidP="00CF3262" w:rsidRDefault="002D6A6E" w14:paraId="18217B0C" w14:textId="021D5586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1.1 Warunki udzielenia wsparcia</w:t>
            </w:r>
          </w:p>
        </w:tc>
        <w:tc>
          <w:tcPr>
            <w:tcW w:w="3921" w:type="dxa"/>
          </w:tcPr>
          <w:p w:rsidRPr="003D7A0B" w:rsidR="002D6A6E" w:rsidP="00CF3262" w:rsidRDefault="002D6A6E" w14:paraId="577A4922" w14:textId="7777777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:rsidRPr="003D7A0B" w:rsidR="002D6A6E" w:rsidP="00CF3262" w:rsidRDefault="002D6A6E" w14:paraId="09548C06" w14:textId="7B0AD61B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 (chyba, że wskazano, że dany warunek nie podlega uzupełnieniu)</w:t>
            </w:r>
          </w:p>
          <w:p w:rsidRPr="003D7A0B" w:rsidR="002D6A6E" w:rsidP="00CF3262" w:rsidRDefault="002D6A6E" w14:paraId="0B8C8086" w14:textId="4A43491F">
            <w:pPr>
              <w:pStyle w:val="Akapitzlist"/>
              <w:numPr>
                <w:ilvl w:val="0"/>
                <w:numId w:val="33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konieczne do spełnienia </w:t>
            </w:r>
          </w:p>
        </w:tc>
        <w:tc>
          <w:tcPr>
            <w:tcW w:w="2121" w:type="dxa"/>
          </w:tcPr>
          <w:p w:rsidRPr="003D7A0B" w:rsidR="002D6A6E" w:rsidP="00CF3262" w:rsidRDefault="002D6A6E" w14:paraId="282B4CF4" w14:textId="7777777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:rsidRPr="005277E2" w:rsidR="002D6A6E" w:rsidP="00CF3262" w:rsidRDefault="002D6A6E" w14:paraId="2033EFEE" w14:textId="3806ED3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</w:tbl>
    <w:p w:rsidRPr="00525DFC" w:rsidR="00924455" w:rsidP="00525DFC" w:rsidRDefault="00924455" w14:paraId="21FF5CE5" w14:textId="540A0D1A">
      <w:pPr>
        <w:tabs>
          <w:tab w:val="left" w:pos="5940"/>
        </w:tabs>
      </w:pPr>
      <w:bookmarkStart w:name="_GoBack" w:id="2"/>
      <w:bookmarkEnd w:id="2"/>
    </w:p>
    <w:sectPr w:rsidRPr="00525DFC" w:rsidR="00924455" w:rsidSect="00525DFC">
      <w:footerReference w:type="default" r:id="rId12"/>
      <w:headerReference w:type="first" r:id="rId13"/>
      <w:footerReference w:type="first" r:id="rId14"/>
      <w:pgSz w:w="11906" w:h="16838" w:orient="portrait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2FA" w:rsidP="009029B5" w:rsidRDefault="00F112FA" w14:paraId="469AF75C" w14:textId="77777777">
      <w:pPr>
        <w:spacing w:after="0" w:line="240" w:lineRule="auto"/>
      </w:pPr>
      <w:r>
        <w:separator/>
      </w:r>
    </w:p>
  </w:endnote>
  <w:endnote w:type="continuationSeparator" w:id="0">
    <w:p w:rsidR="00F112FA" w:rsidP="009029B5" w:rsidRDefault="00F112FA" w14:paraId="0B97E4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p w:rsidR="00C50DEE" w:rsidRDefault="004E78D3" w14:paraId="0EB546F9" w14:textId="27772B03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BD5D05">
      <w:rPr>
        <w:noProof/>
      </w:rPr>
      <w:t>1</w:t>
    </w:r>
    <w:r>
      <w:fldChar w:fldCharType="end"/>
    </w:r>
  </w:p>
  <w:p w:rsidR="009E1472" w:rsidP="00715CD7" w:rsidRDefault="00525DFC" w14:paraId="08CE6F91" w14:textId="5AD480AF">
    <w:pPr>
      <w:pStyle w:val="Stopka"/>
      <w:jc w:val="center"/>
    </w:pPr>
    <w:r>
      <w:rPr>
        <w:noProof/>
      </w:rPr>
      <w:drawing>
        <wp:inline distT="0" distB="0" distL="0" distR="0" wp14:anchorId="1C50000A" wp14:editId="20A570A5">
          <wp:extent cx="5755005" cy="420370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ED6" w:rsidRDefault="005A1ED6" w14:paraId="407CE2FB" w14:textId="1A5DE3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1A32">
      <w:rPr>
        <w:noProof/>
      </w:rPr>
      <w:t>1</w:t>
    </w:r>
    <w:r>
      <w:fldChar w:fldCharType="end"/>
    </w:r>
  </w:p>
  <w:p w:rsidR="009E1472" w:rsidRDefault="009E1472" w14:paraId="3FE9F23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2FA" w:rsidP="009029B5" w:rsidRDefault="00F112FA" w14:paraId="3630F1A8" w14:textId="77777777">
      <w:pPr>
        <w:spacing w:after="0" w:line="240" w:lineRule="auto"/>
      </w:pPr>
      <w:r>
        <w:separator/>
      </w:r>
    </w:p>
  </w:footnote>
  <w:footnote w:type="continuationSeparator" w:id="0">
    <w:p w:rsidR="00F112FA" w:rsidP="009029B5" w:rsidRDefault="00F112FA" w14:paraId="1A42636D" w14:textId="77777777">
      <w:pPr>
        <w:spacing w:after="0" w:line="240" w:lineRule="auto"/>
      </w:pPr>
      <w:r>
        <w:continuationSeparator/>
      </w:r>
    </w:p>
  </w:footnote>
  <w:footnote w:id="1">
    <w:p w:rsidR="00160A3F" w:rsidRDefault="00160A3F" w14:paraId="7BEA2314" w14:textId="08356A83">
      <w:pPr>
        <w:pStyle w:val="Tekstprzypisudolnego"/>
      </w:pPr>
      <w:r w:rsidRPr="003D7A0B">
        <w:rPr>
          <w:rStyle w:val="Odwoanieprzypisudolnego"/>
        </w:rPr>
        <w:footnoteRef/>
      </w:r>
      <w:r w:rsidRPr="003D7A0B">
        <w:t xml:space="preserve"> </w:t>
      </w:r>
      <w:bookmarkStart w:name="_Hlk178151867" w:id="1"/>
      <w:r w:rsidRPr="003D7A0B">
        <w:t>Kryteria ogólne nie mają zastosowania w przypadku działań, w ramach których wdrażany jest instrument terytorialny Rozwój Lokalny kierowany przez Społeczność (RLKS).</w:t>
      </w:r>
      <w:r>
        <w:t xml:space="preserve"> </w:t>
      </w:r>
      <w:bookmarkEnd w:id="1"/>
    </w:p>
  </w:footnote>
  <w:footnote w:id="2">
    <w:p w:rsidR="00160A3F" w:rsidRDefault="00160A3F" w14:paraId="386806D1" w14:textId="6E4557FA">
      <w:pPr>
        <w:pStyle w:val="Tekstprzypisudolnego"/>
      </w:pPr>
      <w:r w:rsidRPr="003D7A0B">
        <w:rPr>
          <w:rStyle w:val="Odwoanieprzypisudolnego"/>
        </w:rPr>
        <w:footnoteRef/>
      </w:r>
      <w:r w:rsidRPr="003D7A0B">
        <w:t xml:space="preserve"> Kryteria szczegółowe nie mają zastosowania w przypadku działań, w ramach których wdrażany jest instrument terytorialny Rozwój Lokalny kierowany przez Społeczność (RLKS).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C9" w:rsidP="00904F4D" w:rsidRDefault="009E43C9" w14:paraId="1F72F646" w14:textId="7777777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261567"/>
    <w:multiLevelType w:val="hybridMultilevel"/>
    <w:tmpl w:val="2064E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1D2C"/>
    <w:multiLevelType w:val="hybridMultilevel"/>
    <w:tmpl w:val="2802258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9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975F0B"/>
    <w:multiLevelType w:val="multilevel"/>
    <w:tmpl w:val="6780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44112"/>
    <w:multiLevelType w:val="hybridMultilevel"/>
    <w:tmpl w:val="14788CD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665646"/>
    <w:multiLevelType w:val="hybridMultilevel"/>
    <w:tmpl w:val="201E845E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2B71B6A"/>
    <w:multiLevelType w:val="hybridMultilevel"/>
    <w:tmpl w:val="D36C7072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6"/>
  </w:num>
  <w:num w:numId="5">
    <w:abstractNumId w:val="9"/>
  </w:num>
  <w:num w:numId="6">
    <w:abstractNumId w:val="11"/>
  </w:num>
  <w:num w:numId="7">
    <w:abstractNumId w:val="21"/>
  </w:num>
  <w:num w:numId="8">
    <w:abstractNumId w:val="27"/>
  </w:num>
  <w:num w:numId="9">
    <w:abstractNumId w:val="13"/>
  </w:num>
  <w:num w:numId="10">
    <w:abstractNumId w:val="2"/>
  </w:num>
  <w:num w:numId="11">
    <w:abstractNumId w:val="4"/>
  </w:num>
  <w:num w:numId="12">
    <w:abstractNumId w:val="23"/>
  </w:num>
  <w:num w:numId="13">
    <w:abstractNumId w:val="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8"/>
  </w:num>
  <w:num w:numId="20">
    <w:abstractNumId w:val="12"/>
  </w:num>
  <w:num w:numId="21">
    <w:abstractNumId w:val="20"/>
  </w:num>
  <w:num w:numId="22">
    <w:abstractNumId w:val="10"/>
  </w:num>
  <w:num w:numId="23">
    <w:abstractNumId w:val="12"/>
  </w:num>
  <w:num w:numId="24">
    <w:abstractNumId w:val="10"/>
  </w:num>
  <w:num w:numId="25">
    <w:abstractNumId w:val="20"/>
  </w:num>
  <w:num w:numId="26">
    <w:abstractNumId w:val="25"/>
  </w:num>
  <w:num w:numId="27">
    <w:abstractNumId w:val="22"/>
  </w:num>
  <w:num w:numId="28">
    <w:abstractNumId w:val="14"/>
  </w:num>
  <w:num w:numId="29">
    <w:abstractNumId w:val="18"/>
  </w:num>
  <w:num w:numId="30">
    <w:abstractNumId w:val="7"/>
  </w:num>
  <w:num w:numId="31">
    <w:abstractNumId w:val="16"/>
  </w:num>
  <w:num w:numId="32">
    <w:abstractNumId w:val="0"/>
  </w:num>
  <w:num w:numId="33">
    <w:abstractNumId w:val="6"/>
  </w:num>
  <w:num w:numId="34">
    <w:abstractNumId w:val="24"/>
  </w:num>
  <w:num w:numId="35">
    <w:abstractNumId w:val="29"/>
  </w:num>
  <w:num w:numId="36">
    <w:abstractNumId w:val="30"/>
  </w:num>
  <w:num w:numId="37">
    <w:abstractNumId w:val="28"/>
  </w:num>
  <w:num w:numId="38">
    <w:abstractNumId w:val="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17C58"/>
    <w:rsid w:val="001248B2"/>
    <w:rsid w:val="00152501"/>
    <w:rsid w:val="00155E72"/>
    <w:rsid w:val="00160A3F"/>
    <w:rsid w:val="00161FE1"/>
    <w:rsid w:val="001636F5"/>
    <w:rsid w:val="001733F6"/>
    <w:rsid w:val="00174B15"/>
    <w:rsid w:val="00197F09"/>
    <w:rsid w:val="001A3C70"/>
    <w:rsid w:val="001C6C71"/>
    <w:rsid w:val="001E16F4"/>
    <w:rsid w:val="001F5F7A"/>
    <w:rsid w:val="00203C43"/>
    <w:rsid w:val="00217B2A"/>
    <w:rsid w:val="0023555D"/>
    <w:rsid w:val="00237420"/>
    <w:rsid w:val="002426B9"/>
    <w:rsid w:val="00251BCB"/>
    <w:rsid w:val="00260D83"/>
    <w:rsid w:val="00264C43"/>
    <w:rsid w:val="0027147B"/>
    <w:rsid w:val="0029122B"/>
    <w:rsid w:val="002943FA"/>
    <w:rsid w:val="002A3FA9"/>
    <w:rsid w:val="002A7274"/>
    <w:rsid w:val="002B0AE7"/>
    <w:rsid w:val="002B7351"/>
    <w:rsid w:val="002D6A6E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14DA"/>
    <w:rsid w:val="00323331"/>
    <w:rsid w:val="00337C98"/>
    <w:rsid w:val="00351A07"/>
    <w:rsid w:val="00353112"/>
    <w:rsid w:val="00367A56"/>
    <w:rsid w:val="00370AD8"/>
    <w:rsid w:val="0037477A"/>
    <w:rsid w:val="00376A35"/>
    <w:rsid w:val="00381A46"/>
    <w:rsid w:val="00386B96"/>
    <w:rsid w:val="00386CD6"/>
    <w:rsid w:val="003902F3"/>
    <w:rsid w:val="003A484B"/>
    <w:rsid w:val="003C0F43"/>
    <w:rsid w:val="003D1A32"/>
    <w:rsid w:val="003D7A0B"/>
    <w:rsid w:val="003E53D5"/>
    <w:rsid w:val="00413384"/>
    <w:rsid w:val="004201FA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E78D3"/>
    <w:rsid w:val="00522101"/>
    <w:rsid w:val="00525DFC"/>
    <w:rsid w:val="005277E2"/>
    <w:rsid w:val="00530452"/>
    <w:rsid w:val="00533263"/>
    <w:rsid w:val="00541040"/>
    <w:rsid w:val="005465A2"/>
    <w:rsid w:val="00547E53"/>
    <w:rsid w:val="005570A7"/>
    <w:rsid w:val="00557EDC"/>
    <w:rsid w:val="005744DA"/>
    <w:rsid w:val="005A1ED6"/>
    <w:rsid w:val="005B44D6"/>
    <w:rsid w:val="005B6314"/>
    <w:rsid w:val="005C0941"/>
    <w:rsid w:val="005C0BFF"/>
    <w:rsid w:val="005C5EA9"/>
    <w:rsid w:val="005C77F0"/>
    <w:rsid w:val="005E49FF"/>
    <w:rsid w:val="0062463D"/>
    <w:rsid w:val="0064359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5CD7"/>
    <w:rsid w:val="0074514B"/>
    <w:rsid w:val="0075478F"/>
    <w:rsid w:val="00755761"/>
    <w:rsid w:val="0076572D"/>
    <w:rsid w:val="007707E2"/>
    <w:rsid w:val="0077668D"/>
    <w:rsid w:val="0077767B"/>
    <w:rsid w:val="0078339D"/>
    <w:rsid w:val="00793EBA"/>
    <w:rsid w:val="007A3032"/>
    <w:rsid w:val="007A6493"/>
    <w:rsid w:val="007B34B0"/>
    <w:rsid w:val="007B46ED"/>
    <w:rsid w:val="007C280A"/>
    <w:rsid w:val="007E2F13"/>
    <w:rsid w:val="007E33ED"/>
    <w:rsid w:val="007E6713"/>
    <w:rsid w:val="007F52F1"/>
    <w:rsid w:val="007F7101"/>
    <w:rsid w:val="00806BA4"/>
    <w:rsid w:val="0082088E"/>
    <w:rsid w:val="00827C4C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B4396"/>
    <w:rsid w:val="008C3234"/>
    <w:rsid w:val="008C5123"/>
    <w:rsid w:val="008D0481"/>
    <w:rsid w:val="008E3B92"/>
    <w:rsid w:val="008F0BA9"/>
    <w:rsid w:val="00902221"/>
    <w:rsid w:val="009029B5"/>
    <w:rsid w:val="009036EE"/>
    <w:rsid w:val="00904F4D"/>
    <w:rsid w:val="009071B1"/>
    <w:rsid w:val="00924455"/>
    <w:rsid w:val="00944399"/>
    <w:rsid w:val="00945C9E"/>
    <w:rsid w:val="00951860"/>
    <w:rsid w:val="00975B77"/>
    <w:rsid w:val="0099054F"/>
    <w:rsid w:val="009924C7"/>
    <w:rsid w:val="009A510E"/>
    <w:rsid w:val="009A54D1"/>
    <w:rsid w:val="009B3AA9"/>
    <w:rsid w:val="009B3AB9"/>
    <w:rsid w:val="009B406B"/>
    <w:rsid w:val="009E1472"/>
    <w:rsid w:val="009E43C9"/>
    <w:rsid w:val="009F1A30"/>
    <w:rsid w:val="009F60B0"/>
    <w:rsid w:val="00A106C0"/>
    <w:rsid w:val="00A22E9B"/>
    <w:rsid w:val="00A243AE"/>
    <w:rsid w:val="00A27313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B01329"/>
    <w:rsid w:val="00B028B9"/>
    <w:rsid w:val="00B12BE4"/>
    <w:rsid w:val="00B229CD"/>
    <w:rsid w:val="00B22F83"/>
    <w:rsid w:val="00B51B92"/>
    <w:rsid w:val="00B65021"/>
    <w:rsid w:val="00B91CA4"/>
    <w:rsid w:val="00B92C2F"/>
    <w:rsid w:val="00B94144"/>
    <w:rsid w:val="00B94978"/>
    <w:rsid w:val="00BA1227"/>
    <w:rsid w:val="00BA66A6"/>
    <w:rsid w:val="00BC0F23"/>
    <w:rsid w:val="00BC44CD"/>
    <w:rsid w:val="00BD5D05"/>
    <w:rsid w:val="00BD6A3E"/>
    <w:rsid w:val="00BE3447"/>
    <w:rsid w:val="00BF4FA1"/>
    <w:rsid w:val="00C24674"/>
    <w:rsid w:val="00C261A5"/>
    <w:rsid w:val="00C33023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56AB9"/>
    <w:rsid w:val="00D60635"/>
    <w:rsid w:val="00D65C47"/>
    <w:rsid w:val="00D776DB"/>
    <w:rsid w:val="00D81305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F25A2"/>
    <w:rsid w:val="00DF264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33CC9"/>
    <w:rsid w:val="00E57EF6"/>
    <w:rsid w:val="00E61FB4"/>
    <w:rsid w:val="00E6526E"/>
    <w:rsid w:val="00E726FD"/>
    <w:rsid w:val="00E77F7C"/>
    <w:rsid w:val="00EA0F60"/>
    <w:rsid w:val="00EA17AD"/>
    <w:rsid w:val="00EA1E39"/>
    <w:rsid w:val="00EA4339"/>
    <w:rsid w:val="00EA4B2A"/>
    <w:rsid w:val="00EC5F89"/>
    <w:rsid w:val="00EE2607"/>
    <w:rsid w:val="00EE45EA"/>
    <w:rsid w:val="00F112FA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68C6"/>
    <w:rsid w:val="00F77CDD"/>
    <w:rsid w:val="00F83CB9"/>
    <w:rsid w:val="00F85200"/>
    <w:rsid w:val="00F9631D"/>
    <w:rsid w:val="00FA6E5E"/>
    <w:rsid w:val="00FB09AF"/>
    <w:rsid w:val="00FB54FD"/>
    <w:rsid w:val="00FD2D36"/>
    <w:rsid w:val="00FF350D"/>
    <w:rsid w:val="00FF4DAC"/>
    <w:rsid w:val="02C92481"/>
    <w:rsid w:val="05986FCB"/>
    <w:rsid w:val="0EE3805B"/>
    <w:rsid w:val="144498A7"/>
    <w:rsid w:val="14651617"/>
    <w:rsid w:val="152EADB8"/>
    <w:rsid w:val="21575CEB"/>
    <w:rsid w:val="21889094"/>
    <w:rsid w:val="22CE2EA9"/>
    <w:rsid w:val="25703226"/>
    <w:rsid w:val="2605CF6B"/>
    <w:rsid w:val="2A29459A"/>
    <w:rsid w:val="2AF39E3D"/>
    <w:rsid w:val="2B3FE3DD"/>
    <w:rsid w:val="2D8B3957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D493CF8"/>
    <w:rsid w:val="4F1FB100"/>
    <w:rsid w:val="4F2E7B7F"/>
    <w:rsid w:val="5343272F"/>
    <w:rsid w:val="5428C954"/>
    <w:rsid w:val="58C7F40C"/>
    <w:rsid w:val="5FDF69A5"/>
    <w:rsid w:val="6579D321"/>
    <w:rsid w:val="71C2638B"/>
    <w:rsid w:val="72AE38F8"/>
    <w:rsid w:val="74A70ACB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7E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029B5"/>
  </w:style>
  <w:style w:type="character" w:styleId="AkapitzlistZnak" w:customStyle="1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hAnsi="Times New Roman" w:eastAsia="Times New Roman"/>
      <w:sz w:val="20"/>
      <w:szCs w:val="20"/>
      <w:lang w:val="x-none" w:eastAsia="pl-PL"/>
    </w:rPr>
  </w:style>
  <w:style w:type="character" w:styleId="TekstkomentarzaZnak" w:customStyle="1">
    <w:name w:val="Tekst komentarza Znak"/>
    <w:link w:val="Tekstkomentarza"/>
    <w:uiPriority w:val="99"/>
    <w:rsid w:val="009E43C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Default" w:customStyle="1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hAnsi="Calibri" w:eastAsia="Calibri"/>
      <w:b/>
      <w:bCs/>
      <w:lang w:val="pl-PL" w:eastAsia="en-US"/>
    </w:rPr>
  </w:style>
  <w:style w:type="character" w:styleId="TematkomentarzaZnak" w:customStyle="1">
    <w:name w:val="Temat komentarza Znak"/>
    <w:link w:val="Tematkomentarza"/>
    <w:uiPriority w:val="99"/>
    <w:semiHidden/>
    <w:rsid w:val="00EC5F89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character" w:styleId="Nagwek4Znak" w:customStyle="1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styleId="Nagwek3Znak" w:customStyle="1">
    <w:name w:val="Nagłówek 3 Znak"/>
    <w:link w:val="Nagwek3"/>
    <w:uiPriority w:val="9"/>
    <w:rsid w:val="002A3FA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paragraph" w:customStyle="1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character" w:styleId="normaltextrun" w:customStyle="1">
    <w:name w:val="normaltextrun"/>
    <w:rsid w:val="00D65C47"/>
  </w:style>
  <w:style w:type="character" w:styleId="eop" w:customStyle="1">
    <w:name w:val="eop"/>
    <w:rsid w:val="00D65C47"/>
  </w:style>
  <w:style w:type="character" w:styleId="contextualspellingandgrammarerror" w:customStyle="1">
    <w:name w:val="contextualspellingandgrammarerror"/>
    <w:rsid w:val="00D65C47"/>
  </w:style>
  <w:style w:type="table" w:styleId="Tabela-Siatka">
    <w:name w:val="Table Grid"/>
    <w:basedOn w:val="Standardowy"/>
    <w:uiPriority w:val="39"/>
    <w:rsid w:val="00827C4C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277E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5277E2"/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agwek1Znak" w:customStyle="1">
    <w:name w:val="Nagłówek 1 Znak"/>
    <w:basedOn w:val="Domylnaczcionkaakapitu"/>
    <w:link w:val="Nagwek1"/>
    <w:uiPriority w:val="9"/>
    <w:rsid w:val="005277E2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d47a4560-aee9-43e8-973f-2abd655c26a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4f64a22-a125-4b7a-afce-4a30c86a8f7c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93E7C3-2E90-4B5B-B2BA-B3F26C1EFD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UMWSL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Kryteria metodyka wyboru projektów</dc:title>
  <dc:subject>Kryteria wyboru</dc:subject>
  <dc:creator>Woźniak Anna</dc:creator>
  <keywords>kryteria ; metodyka</keywords>
  <lastModifiedBy>Zientara Martyna</lastModifiedBy>
  <revision>8</revision>
  <lastPrinted>2022-04-15T07:22:00.0000000Z</lastPrinted>
  <dcterms:created xsi:type="dcterms:W3CDTF">2024-10-21T10:19:00.0000000Z</dcterms:created>
  <dcterms:modified xsi:type="dcterms:W3CDTF">2024-11-04T10:49:13.5787724Z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