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B2A4" w14:textId="628FA531" w:rsidR="00E11A37" w:rsidRPr="00E36A8E" w:rsidRDefault="00E11A37" w:rsidP="471E2294">
      <w:pPr>
        <w:spacing w:after="120" w:line="360" w:lineRule="auto"/>
        <w:jc w:val="center"/>
        <w:rPr>
          <w:rFonts w:asciiTheme="minorHAnsi" w:eastAsiaTheme="minorEastAsia" w:hAnsiTheme="minorHAnsi"/>
          <w:b/>
          <w:bCs/>
        </w:rPr>
      </w:pPr>
      <w:bookmarkStart w:id="0" w:name="_Toc416693506"/>
      <w:r w:rsidRPr="471E2294">
        <w:rPr>
          <w:rFonts w:asciiTheme="minorHAnsi" w:eastAsiaTheme="minorEastAsia" w:hAnsiTheme="minorHAnsi"/>
          <w:b/>
          <w:bCs/>
        </w:rPr>
        <w:t xml:space="preserve">Uchwała nr </w:t>
      </w:r>
      <w:r w:rsidR="009A7B5C" w:rsidRPr="471E2294">
        <w:rPr>
          <w:rFonts w:asciiTheme="minorHAnsi" w:eastAsiaTheme="minorEastAsia" w:hAnsiTheme="minorHAnsi"/>
          <w:b/>
          <w:bCs/>
        </w:rPr>
        <w:t>127</w:t>
      </w:r>
    </w:p>
    <w:p w14:paraId="7E7C2247" w14:textId="77777777" w:rsidR="00E11A37" w:rsidRPr="00E36A8E" w:rsidRDefault="00E11A37" w:rsidP="471E2294">
      <w:pPr>
        <w:spacing w:after="120" w:line="360" w:lineRule="auto"/>
        <w:jc w:val="center"/>
        <w:rPr>
          <w:rFonts w:asciiTheme="minorHAnsi" w:eastAsiaTheme="minorEastAsia" w:hAnsiTheme="minorHAnsi"/>
          <w:b/>
          <w:bCs/>
        </w:rPr>
      </w:pPr>
      <w:r w:rsidRPr="471E2294">
        <w:rPr>
          <w:rFonts w:asciiTheme="minorHAnsi" w:eastAsiaTheme="minorEastAsia" w:hAnsiTheme="minorHAnsi"/>
          <w:b/>
          <w:bCs/>
        </w:rPr>
        <w:t>Komitetu Monitorującego</w:t>
      </w:r>
    </w:p>
    <w:p w14:paraId="7B3C02CA" w14:textId="6DADD1C2" w:rsidR="00E11A37" w:rsidRPr="00E36A8E" w:rsidRDefault="536B20CB" w:rsidP="471E2294">
      <w:pPr>
        <w:spacing w:after="120" w:line="360" w:lineRule="auto"/>
        <w:jc w:val="center"/>
        <w:rPr>
          <w:rFonts w:asciiTheme="minorHAnsi" w:eastAsiaTheme="minorEastAsia" w:hAnsiTheme="minorHAnsi"/>
          <w:b/>
          <w:bCs/>
        </w:rPr>
      </w:pPr>
      <w:r w:rsidRPr="471E2294">
        <w:rPr>
          <w:rFonts w:asciiTheme="minorHAnsi" w:eastAsiaTheme="minorEastAsia" w:hAnsiTheme="minorHAnsi"/>
          <w:b/>
          <w:bCs/>
        </w:rPr>
        <w:t xml:space="preserve">program </w:t>
      </w:r>
      <w:r w:rsidR="00E11A37" w:rsidRPr="471E2294">
        <w:rPr>
          <w:rFonts w:asciiTheme="minorHAnsi" w:eastAsiaTheme="minorEastAsia" w:hAnsiTheme="minorHAnsi"/>
          <w:b/>
          <w:bCs/>
        </w:rPr>
        <w:t>Fundusze Europejskie dla Śląskiego 2021- 2027</w:t>
      </w:r>
    </w:p>
    <w:p w14:paraId="4843E91B" w14:textId="77777777" w:rsidR="00E11A37" w:rsidRPr="00E36A8E" w:rsidRDefault="00E11A37" w:rsidP="471E2294">
      <w:pPr>
        <w:spacing w:after="120" w:line="360" w:lineRule="auto"/>
        <w:jc w:val="center"/>
        <w:rPr>
          <w:rFonts w:asciiTheme="minorHAnsi" w:eastAsiaTheme="minorEastAsia" w:hAnsiTheme="minorHAnsi"/>
          <w:b/>
          <w:bCs/>
        </w:rPr>
      </w:pPr>
      <w:r w:rsidRPr="471E2294">
        <w:rPr>
          <w:rFonts w:asciiTheme="minorHAnsi" w:eastAsiaTheme="minorEastAsia" w:hAnsiTheme="minorHAnsi"/>
          <w:b/>
          <w:bCs/>
        </w:rPr>
        <w:t>z dnia 18 marca 2024 roku</w:t>
      </w:r>
    </w:p>
    <w:p w14:paraId="70529609" w14:textId="77777777" w:rsidR="00E11A37" w:rsidRPr="00E36A8E" w:rsidRDefault="00E11A37" w:rsidP="471E2294">
      <w:pPr>
        <w:spacing w:after="120" w:line="360" w:lineRule="auto"/>
        <w:jc w:val="center"/>
        <w:rPr>
          <w:rFonts w:asciiTheme="minorHAnsi" w:eastAsiaTheme="minorEastAsia" w:hAnsiTheme="minorHAnsi"/>
        </w:rPr>
      </w:pPr>
      <w:r w:rsidRPr="471E2294">
        <w:rPr>
          <w:rFonts w:asciiTheme="minorHAnsi" w:eastAsiaTheme="minorEastAsia" w:hAnsiTheme="minorHAnsi"/>
        </w:rPr>
        <w:t>w sprawie</w:t>
      </w:r>
    </w:p>
    <w:p w14:paraId="2B52C052" w14:textId="06A95EE3" w:rsidR="00E11A37" w:rsidRPr="00E36A8E" w:rsidRDefault="00E11A37" w:rsidP="471E2294">
      <w:pPr>
        <w:pStyle w:val="Default"/>
        <w:spacing w:line="360" w:lineRule="auto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3594B8C">
        <w:rPr>
          <w:rFonts w:asciiTheme="minorHAnsi" w:eastAsiaTheme="minorEastAsia" w:hAnsiTheme="minorHAnsi" w:cstheme="minorBidi"/>
          <w:color w:val="auto"/>
          <w:sz w:val="22"/>
          <w:szCs w:val="22"/>
        </w:rPr>
        <w:t>z</w:t>
      </w:r>
      <w:r w:rsidR="00771352" w:rsidRPr="03594B8C">
        <w:rPr>
          <w:rFonts w:asciiTheme="minorHAnsi" w:eastAsiaTheme="minorEastAsia" w:hAnsiTheme="minorHAnsi" w:cstheme="minorBidi"/>
          <w:color w:val="auto"/>
          <w:sz w:val="22"/>
          <w:szCs w:val="22"/>
        </w:rPr>
        <w:t>miany</w:t>
      </w:r>
      <w:r w:rsidRPr="03594B8C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kryteriów wyboru projektów dla działania FESL.0</w:t>
      </w:r>
      <w:r w:rsidR="00BA35F3" w:rsidRPr="03594B8C">
        <w:rPr>
          <w:rFonts w:asciiTheme="minorHAnsi" w:eastAsiaTheme="minorEastAsia" w:hAnsiTheme="minorHAnsi" w:cstheme="minorBidi"/>
          <w:color w:val="auto"/>
          <w:sz w:val="22"/>
          <w:szCs w:val="22"/>
        </w:rPr>
        <w:t>9</w:t>
      </w:r>
      <w:r w:rsidRPr="03594B8C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.02 </w:t>
      </w:r>
      <w:r w:rsidR="00BA35F3" w:rsidRPr="03594B8C">
        <w:rPr>
          <w:rFonts w:asciiTheme="minorHAnsi" w:eastAsiaTheme="minorEastAsia" w:hAnsiTheme="minorHAnsi"/>
          <w:color w:val="auto"/>
          <w:sz w:val="22"/>
          <w:szCs w:val="22"/>
        </w:rPr>
        <w:t>Rozwój ZIT</w:t>
      </w:r>
      <w:r w:rsidR="50FF835F" w:rsidRPr="03594B8C">
        <w:rPr>
          <w:rFonts w:asciiTheme="minorHAnsi" w:eastAsiaTheme="minorEastAsia" w:hAnsiTheme="minorHAnsi"/>
          <w:color w:val="auto"/>
          <w:sz w:val="22"/>
          <w:szCs w:val="22"/>
        </w:rPr>
        <w:t xml:space="preserve">, </w:t>
      </w:r>
      <w:r w:rsidR="00BA35F3" w:rsidRPr="03594B8C">
        <w:rPr>
          <w:rFonts w:asciiTheme="minorHAnsi" w:eastAsiaTheme="minorEastAsia" w:hAnsiTheme="minorHAnsi"/>
          <w:color w:val="auto"/>
          <w:sz w:val="22"/>
          <w:szCs w:val="22"/>
        </w:rPr>
        <w:t>tryb konkurencyjny.</w:t>
      </w:r>
    </w:p>
    <w:p w14:paraId="0842FF68" w14:textId="616447E5" w:rsidR="00E11A37" w:rsidRPr="00E36A8E" w:rsidRDefault="00E11A37" w:rsidP="471E2294">
      <w:pPr>
        <w:spacing w:after="0"/>
        <w:jc w:val="center"/>
        <w:rPr>
          <w:rFonts w:asciiTheme="minorHAnsi" w:eastAsiaTheme="minorEastAsia" w:hAnsiTheme="minorHAnsi"/>
          <w:b/>
          <w:bCs/>
          <w:i/>
          <w:iCs/>
        </w:rPr>
      </w:pPr>
    </w:p>
    <w:p w14:paraId="0D4CFE18" w14:textId="77777777" w:rsidR="00E11A37" w:rsidRPr="00E36A8E" w:rsidRDefault="00E11A37" w:rsidP="471E2294">
      <w:pPr>
        <w:spacing w:line="360" w:lineRule="auto"/>
        <w:jc w:val="both"/>
        <w:rPr>
          <w:rFonts w:asciiTheme="minorHAnsi" w:eastAsiaTheme="minorEastAsia" w:hAnsiTheme="minorHAnsi"/>
          <w:i/>
          <w:iCs/>
        </w:rPr>
      </w:pPr>
      <w:r w:rsidRPr="471E2294">
        <w:rPr>
          <w:rFonts w:asciiTheme="minorHAnsi" w:eastAsiaTheme="minorEastAsia" w:hAnsiTheme="minorHAnsi"/>
          <w:i/>
          <w:iCs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>
        <w:br/>
      </w:r>
      <w:r w:rsidRPr="471E2294">
        <w:rPr>
          <w:rFonts w:asciiTheme="minorHAnsi" w:eastAsiaTheme="minorEastAsia" w:hAnsiTheme="minorHAnsi"/>
          <w:i/>
          <w:iCs/>
        </w:rPr>
        <w:t>i 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5DBC92DE" w14:textId="77777777" w:rsidR="00E11A37" w:rsidRPr="00E36A8E" w:rsidRDefault="00E11A37" w:rsidP="471E2294">
      <w:pPr>
        <w:spacing w:before="120" w:after="120"/>
        <w:jc w:val="center"/>
        <w:rPr>
          <w:rFonts w:asciiTheme="minorHAnsi" w:eastAsiaTheme="minorEastAsia" w:hAnsiTheme="minorHAnsi"/>
          <w:b/>
          <w:bCs/>
        </w:rPr>
      </w:pPr>
    </w:p>
    <w:p w14:paraId="265B38AD" w14:textId="77777777" w:rsidR="00E11A37" w:rsidRPr="00E36A8E" w:rsidRDefault="00E11A37" w:rsidP="471E2294">
      <w:pPr>
        <w:spacing w:before="120" w:after="120"/>
        <w:jc w:val="center"/>
        <w:rPr>
          <w:rFonts w:asciiTheme="minorHAnsi" w:eastAsiaTheme="minorEastAsia" w:hAnsiTheme="minorHAnsi"/>
        </w:rPr>
      </w:pPr>
      <w:r w:rsidRPr="471E2294">
        <w:rPr>
          <w:rFonts w:asciiTheme="minorHAnsi" w:eastAsiaTheme="minorEastAsia" w:hAnsiTheme="minorHAnsi"/>
        </w:rPr>
        <w:t>§ 1</w:t>
      </w:r>
    </w:p>
    <w:p w14:paraId="1394F698" w14:textId="7B9BFBC5" w:rsidR="004A0575" w:rsidRPr="00755761" w:rsidRDefault="004A0575" w:rsidP="471E2294">
      <w:pPr>
        <w:pStyle w:val="Akapitzlist"/>
        <w:numPr>
          <w:ilvl w:val="0"/>
          <w:numId w:val="40"/>
        </w:numPr>
        <w:spacing w:line="360" w:lineRule="auto"/>
        <w:ind w:left="567"/>
        <w:jc w:val="both"/>
        <w:rPr>
          <w:rStyle w:val="Pogrubienie"/>
          <w:rFonts w:asciiTheme="minorHAnsi" w:eastAsiaTheme="minorEastAsia" w:hAnsiTheme="minorHAnsi" w:cstheme="minorBidi"/>
          <w:b w:val="0"/>
          <w:bCs w:val="0"/>
        </w:rPr>
      </w:pPr>
      <w:r w:rsidRPr="0F0CA803">
        <w:rPr>
          <w:rFonts w:asciiTheme="minorHAnsi" w:eastAsiaTheme="minorEastAsia" w:hAnsiTheme="minorHAnsi" w:cstheme="minorBidi"/>
        </w:rPr>
        <w:t xml:space="preserve">Zmienia się kryteria wyboru projektów dla </w:t>
      </w:r>
      <w:r w:rsidRPr="0F0CA803">
        <w:rPr>
          <w:rFonts w:asciiTheme="minorHAnsi" w:eastAsiaTheme="minorEastAsia" w:hAnsiTheme="minorHAnsi" w:cstheme="minorBidi"/>
          <w:b/>
          <w:bCs/>
        </w:rPr>
        <w:t>działania</w:t>
      </w:r>
      <w:r w:rsidRPr="0F0CA803">
        <w:rPr>
          <w:rFonts w:asciiTheme="minorHAnsi" w:eastAsiaTheme="minorEastAsia" w:hAnsiTheme="minorHAnsi" w:cstheme="minorBidi"/>
        </w:rPr>
        <w:t xml:space="preserve"> </w:t>
      </w:r>
      <w:r w:rsidR="1B370CCA" w:rsidRPr="0F0CA803">
        <w:rPr>
          <w:rFonts w:asciiTheme="minorHAnsi" w:eastAsiaTheme="minorEastAsia" w:hAnsiTheme="minorHAnsi" w:cstheme="minorBidi"/>
          <w:b/>
          <w:bCs/>
        </w:rPr>
        <w:t>FESL.</w:t>
      </w:r>
      <w:r w:rsidRPr="0F0CA803">
        <w:rPr>
          <w:rFonts w:asciiTheme="minorHAnsi" w:hAnsiTheme="minorHAnsi" w:cstheme="minorBidi"/>
          <w:b/>
          <w:bCs/>
        </w:rPr>
        <w:t>9.2 Rozwój ZIT</w:t>
      </w:r>
      <w:r w:rsidR="0C2DA1BB" w:rsidRPr="0F0CA803">
        <w:rPr>
          <w:rFonts w:asciiTheme="minorHAnsi" w:hAnsiTheme="minorHAnsi" w:cstheme="minorBidi"/>
        </w:rPr>
        <w:t xml:space="preserve"> p</w:t>
      </w:r>
      <w:r w:rsidRPr="0F0CA803">
        <w:rPr>
          <w:rFonts w:asciiTheme="minorHAnsi" w:eastAsiaTheme="minorEastAsia" w:hAnsiTheme="minorHAnsi" w:cstheme="minorBidi"/>
        </w:rPr>
        <w:t xml:space="preserve">oprzez zmianę uchwały nr 49 Komitetu Monitorującego Fundusze Europejskie dla Śląskiego </w:t>
      </w:r>
      <w:r w:rsidRPr="0F0CA803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2021-2027 </w:t>
      </w:r>
      <w:r w:rsidR="121005FD" w:rsidRPr="0F0CA803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z dnia 28 kwietnia 2023 r. </w:t>
      </w:r>
      <w:r w:rsidR="03156985" w:rsidRPr="0F0CA803">
        <w:rPr>
          <w:rStyle w:val="Pogrubienie"/>
          <w:rFonts w:asciiTheme="minorHAnsi" w:eastAsiaTheme="minorEastAsia" w:hAnsiTheme="minorHAnsi" w:cstheme="minorBidi"/>
          <w:b w:val="0"/>
          <w:bCs w:val="0"/>
        </w:rPr>
        <w:t>p</w:t>
      </w:r>
      <w:r w:rsidR="6BAD8A08" w:rsidRPr="0F0CA803">
        <w:rPr>
          <w:rStyle w:val="Pogrubienie"/>
          <w:rFonts w:cs="Calibri"/>
          <w:b w:val="0"/>
          <w:bCs w:val="0"/>
        </w:rPr>
        <w:t>olegając</w:t>
      </w:r>
      <w:r w:rsidR="34E1169A" w:rsidRPr="0F0CA803">
        <w:rPr>
          <w:rStyle w:val="Pogrubienie"/>
          <w:rFonts w:cs="Calibri"/>
          <w:b w:val="0"/>
          <w:bCs w:val="0"/>
        </w:rPr>
        <w:t xml:space="preserve">ej </w:t>
      </w:r>
      <w:r w:rsidR="6BAD8A08" w:rsidRPr="0F0CA803">
        <w:rPr>
          <w:rStyle w:val="Pogrubienie"/>
          <w:rFonts w:cs="Calibri"/>
          <w:b w:val="0"/>
          <w:bCs w:val="0"/>
        </w:rPr>
        <w:t>na</w:t>
      </w:r>
      <w:r w:rsidRPr="0F0CA803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 </w:t>
      </w:r>
      <w:r w:rsidR="5AA1FC30" w:rsidRPr="0F0CA803">
        <w:rPr>
          <w:rStyle w:val="Pogrubienie"/>
          <w:rFonts w:asciiTheme="minorHAnsi" w:eastAsiaTheme="minorEastAsia" w:hAnsiTheme="minorHAnsi" w:cstheme="minorBidi"/>
          <w:b w:val="0"/>
          <w:bCs w:val="0"/>
        </w:rPr>
        <w:t>korekcie</w:t>
      </w:r>
      <w:r w:rsidRPr="0F0CA803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 zapisu w zakresie definicji kryterium ogólnego merytorycznego nr 2.</w:t>
      </w:r>
    </w:p>
    <w:p w14:paraId="6D7CC58D" w14:textId="684D220F" w:rsidR="004A0575" w:rsidRPr="004A0575" w:rsidRDefault="004A0575" w:rsidP="471E2294">
      <w:pPr>
        <w:pStyle w:val="Akapitzlist"/>
        <w:numPr>
          <w:ilvl w:val="0"/>
          <w:numId w:val="40"/>
        </w:numPr>
        <w:spacing w:line="360" w:lineRule="auto"/>
        <w:ind w:left="567"/>
        <w:jc w:val="both"/>
        <w:rPr>
          <w:rStyle w:val="Pogrubienie"/>
          <w:rFonts w:asciiTheme="minorHAnsi" w:eastAsiaTheme="minorEastAsia" w:hAnsiTheme="minorHAnsi" w:cstheme="minorBidi"/>
          <w:b w:val="0"/>
          <w:bCs w:val="0"/>
        </w:rPr>
      </w:pPr>
      <w:r w:rsidRPr="02CD2183">
        <w:rPr>
          <w:rFonts w:asciiTheme="minorHAnsi" w:eastAsiaTheme="minorEastAsia" w:hAnsiTheme="minorHAnsi" w:cstheme="minorBidi"/>
        </w:rPr>
        <w:t xml:space="preserve">Kryteria wyboru projektów stanowią załącznik do niniejszej uchwały.   </w:t>
      </w:r>
    </w:p>
    <w:p w14:paraId="549AE758" w14:textId="331D7F8F" w:rsidR="02CD2183" w:rsidRDefault="02CD2183" w:rsidP="02CD2183">
      <w:pPr>
        <w:pStyle w:val="Akapitzlist"/>
        <w:tabs>
          <w:tab w:val="left" w:pos="4253"/>
        </w:tabs>
        <w:ind w:left="3540" w:right="-284" w:firstLine="708"/>
        <w:rPr>
          <w:rFonts w:asciiTheme="minorHAnsi" w:eastAsiaTheme="minorEastAsia" w:hAnsiTheme="minorHAnsi"/>
        </w:rPr>
      </w:pPr>
    </w:p>
    <w:p w14:paraId="510159D7" w14:textId="20142290" w:rsidR="00E11A37" w:rsidRPr="00E36A8E" w:rsidRDefault="00E11A37" w:rsidP="471E2294">
      <w:pPr>
        <w:pStyle w:val="Akapitzlist"/>
        <w:tabs>
          <w:tab w:val="left" w:pos="4253"/>
        </w:tabs>
        <w:ind w:left="3540" w:right="-284" w:firstLine="708"/>
        <w:rPr>
          <w:rFonts w:asciiTheme="minorHAnsi" w:eastAsiaTheme="minorEastAsia" w:hAnsiTheme="minorHAnsi"/>
        </w:rPr>
      </w:pPr>
      <w:r w:rsidRPr="471E2294">
        <w:rPr>
          <w:rFonts w:asciiTheme="minorHAnsi" w:eastAsiaTheme="minorEastAsia" w:hAnsiTheme="minorHAnsi"/>
        </w:rPr>
        <w:t>§ 2</w:t>
      </w:r>
    </w:p>
    <w:p w14:paraId="29BAB085" w14:textId="47EDF732" w:rsidR="00E11A37" w:rsidRPr="00226C7C" w:rsidRDefault="00E11A37" w:rsidP="00226C7C">
      <w:pPr>
        <w:spacing w:before="120" w:after="120"/>
        <w:rPr>
          <w:rFonts w:asciiTheme="minorHAnsi" w:eastAsiaTheme="minorEastAsia" w:hAnsiTheme="minorHAnsi"/>
        </w:rPr>
      </w:pPr>
      <w:r w:rsidRPr="471E2294">
        <w:rPr>
          <w:rFonts w:asciiTheme="minorHAnsi" w:eastAsiaTheme="minorEastAsia" w:hAnsiTheme="minorHAnsi"/>
        </w:rPr>
        <w:t>Uchwała wchodzi w życie z dniem podjęcia.</w:t>
      </w:r>
    </w:p>
    <w:bookmarkEnd w:id="0"/>
    <w:p w14:paraId="57E0C65F" w14:textId="48ABD267" w:rsidR="686C4606" w:rsidRDefault="686C4606" w:rsidP="471E2294">
      <w:pPr>
        <w:pStyle w:val="NormalnyWeb"/>
        <w:spacing w:line="276" w:lineRule="auto"/>
        <w:ind w:left="5664" w:right="1275"/>
        <w:jc w:val="center"/>
        <w:rPr>
          <w:rFonts w:ascii="Calibri" w:eastAsia="Calibri" w:hAnsi="Calibri" w:cs="Calibri"/>
          <w:sz w:val="22"/>
          <w:szCs w:val="22"/>
        </w:rPr>
      </w:pPr>
      <w:r w:rsidRPr="471E2294">
        <w:rPr>
          <w:rFonts w:ascii="Calibri" w:eastAsia="Calibri" w:hAnsi="Calibri" w:cs="Calibri"/>
          <w:b/>
          <w:bCs/>
          <w:sz w:val="22"/>
          <w:szCs w:val="22"/>
        </w:rPr>
        <w:t>Zastępca Przewodniczącego</w:t>
      </w:r>
    </w:p>
    <w:p w14:paraId="2D0F647A" w14:textId="656EF788" w:rsidR="686C4606" w:rsidRDefault="686C4606" w:rsidP="471E2294">
      <w:pPr>
        <w:pStyle w:val="NormalnyWeb"/>
        <w:spacing w:line="276" w:lineRule="auto"/>
        <w:ind w:left="4248"/>
        <w:jc w:val="center"/>
        <w:rPr>
          <w:rFonts w:ascii="Calibri" w:eastAsia="Calibri" w:hAnsi="Calibri" w:cs="Calibri"/>
          <w:sz w:val="22"/>
          <w:szCs w:val="22"/>
        </w:rPr>
      </w:pPr>
      <w:r w:rsidRPr="471E2294">
        <w:rPr>
          <w:rFonts w:ascii="Calibri" w:eastAsia="Calibri" w:hAnsi="Calibri" w:cs="Calibri"/>
          <w:b/>
          <w:bCs/>
          <w:sz w:val="22"/>
          <w:szCs w:val="22"/>
        </w:rPr>
        <w:t>KM FE SL 2021-2027</w:t>
      </w:r>
    </w:p>
    <w:p w14:paraId="377739E0" w14:textId="4113EE0F" w:rsidR="5C966ABC" w:rsidRDefault="5C966ABC" w:rsidP="00226C7C">
      <w:pPr>
        <w:spacing w:beforeAutospacing="1" w:afterAutospacing="1"/>
        <w:rPr>
          <w:rFonts w:cs="Calibri"/>
        </w:rPr>
      </w:pPr>
      <w:bookmarkStart w:id="1" w:name="_GoBack"/>
      <w:bookmarkEnd w:id="1"/>
    </w:p>
    <w:p w14:paraId="50482135" w14:textId="765E0902" w:rsidR="686C4606" w:rsidRDefault="686C4606" w:rsidP="471E2294">
      <w:pPr>
        <w:pStyle w:val="NormalnyWeb"/>
        <w:spacing w:line="276" w:lineRule="auto"/>
        <w:ind w:left="4248"/>
        <w:jc w:val="center"/>
        <w:rPr>
          <w:rFonts w:ascii="Calibri" w:eastAsia="Calibri" w:hAnsi="Calibri" w:cs="Calibri"/>
          <w:sz w:val="22"/>
          <w:szCs w:val="22"/>
        </w:rPr>
      </w:pPr>
      <w:r w:rsidRPr="471E2294">
        <w:rPr>
          <w:rFonts w:ascii="Calibri" w:eastAsia="Calibri" w:hAnsi="Calibri" w:cs="Calibri"/>
          <w:b/>
          <w:bCs/>
          <w:sz w:val="22"/>
          <w:szCs w:val="22"/>
        </w:rPr>
        <w:t>Anna Jedynak - Rykała</w:t>
      </w:r>
    </w:p>
    <w:p w14:paraId="44BEB027" w14:textId="110E3148" w:rsidR="5C966ABC" w:rsidRDefault="5C966ABC" w:rsidP="5C966ABC">
      <w:pPr>
        <w:pStyle w:val="NormalnyWeb"/>
        <w:spacing w:line="276" w:lineRule="auto"/>
        <w:ind w:left="5245" w:right="1275" w:firstLine="419"/>
        <w:jc w:val="center"/>
        <w:rPr>
          <w:rFonts w:asciiTheme="minorHAnsi" w:hAnsiTheme="minorHAnsi"/>
          <w:b/>
          <w:bCs/>
          <w:sz w:val="22"/>
          <w:szCs w:val="22"/>
        </w:rPr>
        <w:sectPr w:rsidR="5C966ABC" w:rsidSect="002E540D">
          <w:footerReference w:type="default" r:id="rId12"/>
          <w:headerReference w:type="first" r:id="rId13"/>
          <w:footerReference w:type="first" r:id="rId14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</w:p>
    <w:p w14:paraId="0122F481" w14:textId="302EF3F0" w:rsidR="00C94162" w:rsidRPr="00D868E9" w:rsidRDefault="00C94162" w:rsidP="00D868E9">
      <w:pPr>
        <w:pStyle w:val="Tytu"/>
        <w:rPr>
          <w:b/>
          <w:sz w:val="36"/>
          <w:szCs w:val="36"/>
        </w:rPr>
      </w:pPr>
      <w:r w:rsidRPr="00D868E9">
        <w:rPr>
          <w:b/>
          <w:sz w:val="36"/>
          <w:szCs w:val="36"/>
        </w:rPr>
        <w:lastRenderedPageBreak/>
        <w:t>Kryteria wyboru projektów FE SL 2021-2027</w:t>
      </w:r>
    </w:p>
    <w:p w14:paraId="0122F482" w14:textId="77777777" w:rsidR="00C94162" w:rsidRPr="00D868E9" w:rsidRDefault="00C94162" w:rsidP="00D868E9">
      <w:pPr>
        <w:pStyle w:val="Nagwek1"/>
        <w:rPr>
          <w:b/>
          <w:color w:val="auto"/>
          <w:sz w:val="28"/>
          <w:szCs w:val="28"/>
        </w:rPr>
      </w:pPr>
      <w:r w:rsidRPr="00D868E9">
        <w:rPr>
          <w:b/>
          <w:color w:val="auto"/>
          <w:sz w:val="28"/>
          <w:szCs w:val="28"/>
        </w:rPr>
        <w:t>Działanie 9.2 Rozwój ZIT</w:t>
      </w:r>
    </w:p>
    <w:p w14:paraId="0122F483" w14:textId="77777777" w:rsidR="00C94162" w:rsidRPr="00D868E9" w:rsidRDefault="00C94162" w:rsidP="00D868E9">
      <w:pPr>
        <w:pStyle w:val="Nagwek2"/>
        <w:rPr>
          <w:b/>
          <w:color w:val="auto"/>
        </w:rPr>
      </w:pPr>
      <w:r w:rsidRPr="00D868E9">
        <w:rPr>
          <w:b/>
          <w:color w:val="auto"/>
        </w:rPr>
        <w:t>Kryteria ogólne formalne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ryteria formalne"/>
        <w:tblDescription w:val="W tabeli przedstawiono kryteria formalne wdrażane przez Departament Europejskiego Funduszu Społecznego w ramach EFRR"/>
      </w:tblPr>
      <w:tblGrid>
        <w:gridCol w:w="702"/>
        <w:gridCol w:w="2681"/>
        <w:gridCol w:w="5900"/>
        <w:gridCol w:w="2544"/>
        <w:gridCol w:w="1976"/>
        <w:gridCol w:w="1323"/>
      </w:tblGrid>
      <w:tr w:rsidR="00C94162" w:rsidRPr="00D868E9" w14:paraId="0122F48A" w14:textId="77777777" w:rsidTr="00D6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  <w:vAlign w:val="center"/>
          </w:tcPr>
          <w:p w14:paraId="0122F484" w14:textId="77777777" w:rsidR="00C94162" w:rsidRPr="00D868E9" w:rsidRDefault="00C94162" w:rsidP="00D868E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122F485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0122F486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Definicja kryterium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122F487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Czy spełnienie kryterium jest konieczne do przyznania dofinansowania?*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22F488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Sposób oceny kryterium*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122F489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Szczególne znaczenie kryterium*</w:t>
            </w:r>
          </w:p>
        </w:tc>
      </w:tr>
      <w:tr w:rsidR="008B2669" w:rsidRPr="00D868E9" w14:paraId="0122F493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48B" w14:textId="77777777" w:rsidR="008B2669" w:rsidRPr="00D868E9" w:rsidRDefault="008B2669" w:rsidP="00D868E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22F48C" w14:textId="77777777" w:rsidR="008B2669" w:rsidRPr="00D868E9" w:rsidRDefault="008B2669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Wnioskodawca jest podmiotem uprawnionym do aplikowania o środki w ramach naboru.</w:t>
            </w:r>
          </w:p>
        </w:tc>
        <w:tc>
          <w:tcPr>
            <w:tcW w:w="5954" w:type="dxa"/>
          </w:tcPr>
          <w:p w14:paraId="0122F48D" w14:textId="77D54822" w:rsidR="008B2669" w:rsidRPr="00D868E9" w:rsidRDefault="008B2669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Wnioskodawca  jest podmiotem uprawnionym do aplikowania o środki, zgodnie Regulaminem wyboru projektów. Kryterium weryfikowane na podstawie części A1 wniosku o dofinansowanie Dane </w:t>
            </w:r>
            <w:r w:rsidR="00A86749" w:rsidRPr="00D868E9">
              <w:rPr>
                <w:rFonts w:ascii="Calibri" w:hAnsi="Calibri" w:cs="Calibri"/>
                <w:sz w:val="24"/>
                <w:szCs w:val="24"/>
              </w:rPr>
              <w:t>podstawowe – wnioskodawca</w:t>
            </w:r>
            <w:r w:rsidR="002043FF" w:rsidRPr="00D868E9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D868E9">
              <w:rPr>
                <w:rFonts w:ascii="Calibri" w:hAnsi="Calibri" w:cs="Calibri"/>
                <w:sz w:val="24"/>
                <w:szCs w:val="24"/>
              </w:rPr>
              <w:t>Kryterium musi być spełnione zarówno w momencie oceny wniosku, jak i przed podpisaniem umowy o  dofinansowanie.</w:t>
            </w:r>
          </w:p>
        </w:tc>
        <w:tc>
          <w:tcPr>
            <w:tcW w:w="2551" w:type="dxa"/>
          </w:tcPr>
          <w:p w14:paraId="0122F48E" w14:textId="77777777" w:rsidR="008B2669" w:rsidRPr="00D868E9" w:rsidRDefault="008B2669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Konieczne spełnienie - TAK</w:t>
            </w:r>
          </w:p>
          <w:p w14:paraId="0122F48F" w14:textId="77777777" w:rsidR="008B2669" w:rsidRPr="00D868E9" w:rsidRDefault="008B2669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NIE</w:t>
            </w:r>
          </w:p>
        </w:tc>
        <w:tc>
          <w:tcPr>
            <w:tcW w:w="1985" w:type="dxa"/>
          </w:tcPr>
          <w:p w14:paraId="0122F490" w14:textId="77777777" w:rsidR="008B2669" w:rsidRPr="00D868E9" w:rsidRDefault="008B2669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formalne 0/1</w:t>
            </w:r>
          </w:p>
          <w:p w14:paraId="0122F491" w14:textId="77777777" w:rsidR="008B2669" w:rsidRPr="00D868E9" w:rsidRDefault="008B2669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122F492" w14:textId="77777777" w:rsidR="008B2669" w:rsidRPr="00D868E9" w:rsidRDefault="008B2669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</w:tr>
      <w:tr w:rsidR="00C94162" w:rsidRPr="00D868E9" w14:paraId="0122F49C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494" w14:textId="77777777" w:rsidR="00C94162" w:rsidRPr="00D868E9" w:rsidRDefault="00C94162" w:rsidP="00D868E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22F495" w14:textId="77777777" w:rsidR="00C94162" w:rsidRPr="00D868E9" w:rsidRDefault="008B2669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Do Wnioskodawcy oraz podmiotów z nim powiązanych nie mają zastosowania środki sankcyjne, które mają </w:t>
            </w: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zastosowanie wobec podmiotów, które w bezpośredni lub pośredni sposób wspierają działania wojenne Federacji Rosyjskiej lub są za nie odpowiedzialne.</w:t>
            </w:r>
          </w:p>
        </w:tc>
        <w:tc>
          <w:tcPr>
            <w:tcW w:w="5954" w:type="dxa"/>
          </w:tcPr>
          <w:p w14:paraId="0122F496" w14:textId="77777777" w:rsidR="008B2669" w:rsidRPr="00D868E9" w:rsidRDefault="008B2669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Weryfikowane będzie, czy Wnioskodawca oraz podmioty z nim powiązane nie podlegają sankcjom na podstawie prawodawstwa unijnego i krajowego wprowadzającego sankcje wobec podmiotów i osób, które w bezpośredni lub pośredni sposób wspierają działania wojenne </w:t>
            </w: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Federacji Rosyjskiej lub są za nie odpowiedzialne (w szczególności ustawy z dnia 13 kwietnia 2022 r. o szczególnych rozwiązaniach w zakresie przeciwdziałania wspieraniu agresji na Ukrainę oraz służących ochronie bezpieczeństwa narodowego oraz Rozporządzenia (UE) nr 833/2014 z dnia 31 lipca 2014 r. dotyczące środków ograniczających w związku z działaniami Rosji destabilizującymi sytuację na Ukrainie). </w:t>
            </w:r>
          </w:p>
          <w:p w14:paraId="0122F497" w14:textId="77777777" w:rsidR="00C94162" w:rsidRPr="00D868E9" w:rsidRDefault="008B2669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weryfikowane na podstawie dostępnych list i rejestrów. Kryterium musi być spełnione zarówno w momencie oceny wniosku, jak i przed podpisaniem umowy o dofinansowanie.</w:t>
            </w:r>
          </w:p>
        </w:tc>
        <w:tc>
          <w:tcPr>
            <w:tcW w:w="2551" w:type="dxa"/>
          </w:tcPr>
          <w:p w14:paraId="0122F498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Konieczne spełnienie - TAK</w:t>
            </w:r>
          </w:p>
          <w:p w14:paraId="0122F499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NIE</w:t>
            </w:r>
          </w:p>
        </w:tc>
        <w:tc>
          <w:tcPr>
            <w:tcW w:w="1985" w:type="dxa"/>
          </w:tcPr>
          <w:p w14:paraId="0122F49A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formalne 0/1</w:t>
            </w:r>
          </w:p>
        </w:tc>
        <w:tc>
          <w:tcPr>
            <w:tcW w:w="1239" w:type="dxa"/>
          </w:tcPr>
          <w:p w14:paraId="0122F49B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</w:tr>
      <w:tr w:rsidR="007160F2" w:rsidRPr="00D868E9" w14:paraId="0122F4A4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49D" w14:textId="77777777" w:rsidR="007160F2" w:rsidRPr="00D868E9" w:rsidRDefault="007160F2" w:rsidP="00D868E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22F49E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Wnioskodawca posiada odpowiedni potencjał ekonomiczny.</w:t>
            </w:r>
          </w:p>
        </w:tc>
        <w:tc>
          <w:tcPr>
            <w:tcW w:w="5954" w:type="dxa"/>
          </w:tcPr>
          <w:p w14:paraId="0122F49F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Uznaje się, iż deklaracja jednostki samorządu terytorialnego (oraz ich związków i stowarzyszeń oraz jednostek w których JST ma ponad 50% udziałów lub akcji) o zapewnieniu finansowania ze środków budżetowych dla utrzymania trwałości finansowej projektu jest wystarczająca w tym zakresie</w:t>
            </w:r>
            <w:r w:rsidR="00BC236C" w:rsidRPr="00D868E9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122F4A0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Konieczne spełnienie – TAK </w:t>
            </w:r>
          </w:p>
          <w:p w14:paraId="0122F4A1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NIE</w:t>
            </w:r>
          </w:p>
        </w:tc>
        <w:tc>
          <w:tcPr>
            <w:tcW w:w="1985" w:type="dxa"/>
          </w:tcPr>
          <w:p w14:paraId="0122F4A2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formalne 0/1</w:t>
            </w:r>
          </w:p>
        </w:tc>
        <w:tc>
          <w:tcPr>
            <w:tcW w:w="1239" w:type="dxa"/>
          </w:tcPr>
          <w:p w14:paraId="0122F4A3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</w:tr>
      <w:tr w:rsidR="007160F2" w:rsidRPr="00D868E9" w14:paraId="0122F4AD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4A5" w14:textId="77777777" w:rsidR="007160F2" w:rsidRPr="00D868E9" w:rsidRDefault="007160F2" w:rsidP="00D868E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22F4A6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Okres realizacji projektu jest zgodny z okresem kwalifikowania wydatków w FE SL 2021-2027.</w:t>
            </w:r>
          </w:p>
        </w:tc>
        <w:tc>
          <w:tcPr>
            <w:tcW w:w="5954" w:type="dxa"/>
          </w:tcPr>
          <w:p w14:paraId="0122F4A7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Realizacja projektu mieści się w ramach czasowych FE SL 2021-2027, określonych datami od 1 stycznia 2021 r. do 31 grudnia 2029r. </w:t>
            </w:r>
          </w:p>
          <w:p w14:paraId="0122F4A8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zostanie zweryfikowane na podstawie punkt VIII wniosku o dofinansowania – Okres realizacji projektu oraz innych zapisów wniosku. Kryterium musi być spełnione zarówno w momencie oceny wniosku, jak i przed podpisaniem umowy o dofinansowanie.</w:t>
            </w:r>
          </w:p>
        </w:tc>
        <w:tc>
          <w:tcPr>
            <w:tcW w:w="2551" w:type="dxa"/>
          </w:tcPr>
          <w:p w14:paraId="0122F4A9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Konieczne spełnienie - TAK</w:t>
            </w:r>
          </w:p>
          <w:p w14:paraId="0122F4AA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NIE</w:t>
            </w:r>
          </w:p>
        </w:tc>
        <w:tc>
          <w:tcPr>
            <w:tcW w:w="1985" w:type="dxa"/>
          </w:tcPr>
          <w:p w14:paraId="0122F4AB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formalne 0/1</w:t>
            </w:r>
          </w:p>
        </w:tc>
        <w:tc>
          <w:tcPr>
            <w:tcW w:w="1239" w:type="dxa"/>
          </w:tcPr>
          <w:p w14:paraId="0122F4AC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</w:tr>
      <w:tr w:rsidR="007160F2" w:rsidRPr="00D868E9" w14:paraId="0122F4B5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4AE" w14:textId="77777777" w:rsidR="007160F2" w:rsidRPr="00D868E9" w:rsidRDefault="007160F2" w:rsidP="00D868E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22F4AF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Wartość projektu została prawidłowo określona.</w:t>
            </w:r>
          </w:p>
        </w:tc>
        <w:tc>
          <w:tcPr>
            <w:tcW w:w="5954" w:type="dxa"/>
          </w:tcPr>
          <w:p w14:paraId="0122F4B0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Weryfikowane będzie, czy wartość projektu jest zgodna z minimalną i maksymalną wartością projektów określoną w Regulaminie wyboru projektów. Kryterium musi być spełnione zarówno w momencie oceny wniosku, jak i przed podpisaniem umowy o dofinansowanie.</w:t>
            </w:r>
          </w:p>
        </w:tc>
        <w:tc>
          <w:tcPr>
            <w:tcW w:w="2551" w:type="dxa"/>
          </w:tcPr>
          <w:p w14:paraId="0122F4B1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Konieczne spełnienie - TAK</w:t>
            </w:r>
          </w:p>
          <w:p w14:paraId="0122F4B2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NIE</w:t>
            </w:r>
          </w:p>
        </w:tc>
        <w:tc>
          <w:tcPr>
            <w:tcW w:w="1985" w:type="dxa"/>
          </w:tcPr>
          <w:p w14:paraId="0122F4B3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formalne 0/1</w:t>
            </w:r>
          </w:p>
        </w:tc>
        <w:tc>
          <w:tcPr>
            <w:tcW w:w="1239" w:type="dxa"/>
          </w:tcPr>
          <w:p w14:paraId="0122F4B4" w14:textId="77777777" w:rsidR="007160F2" w:rsidRPr="00D868E9" w:rsidRDefault="007160F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</w:tr>
    </w:tbl>
    <w:p w14:paraId="0122F4B6" w14:textId="77777777" w:rsidR="00C94162" w:rsidRPr="00D868E9" w:rsidRDefault="00C94162" w:rsidP="00D868E9">
      <w:pPr>
        <w:spacing w:line="360" w:lineRule="auto"/>
        <w:rPr>
          <w:rFonts w:cs="Calibri"/>
          <w:sz w:val="24"/>
          <w:szCs w:val="24"/>
        </w:rPr>
      </w:pPr>
    </w:p>
    <w:p w14:paraId="0122F4B7" w14:textId="77777777" w:rsidR="00C94162" w:rsidRPr="00D868E9" w:rsidRDefault="00C94162" w:rsidP="00D868E9">
      <w:pPr>
        <w:pStyle w:val="Nagwek2"/>
        <w:spacing w:line="360" w:lineRule="auto"/>
        <w:rPr>
          <w:rFonts w:ascii="Calibri" w:hAnsi="Calibri" w:cs="Calibri"/>
          <w:b/>
          <w:color w:val="auto"/>
          <w:sz w:val="24"/>
          <w:szCs w:val="24"/>
        </w:rPr>
      </w:pPr>
      <w:r w:rsidRPr="00D868E9">
        <w:rPr>
          <w:rFonts w:ascii="Calibri" w:hAnsi="Calibri" w:cs="Calibri"/>
          <w:b/>
          <w:color w:val="auto"/>
          <w:sz w:val="24"/>
          <w:szCs w:val="24"/>
        </w:rPr>
        <w:t>Kryteria ogólne merytoryczne</w:t>
      </w:r>
    </w:p>
    <w:p w14:paraId="0122F4B8" w14:textId="77777777" w:rsidR="00C94162" w:rsidRPr="00D868E9" w:rsidRDefault="00C94162" w:rsidP="00D868E9">
      <w:pPr>
        <w:spacing w:line="360" w:lineRule="auto"/>
        <w:rPr>
          <w:rFonts w:cs="Calibri"/>
          <w:sz w:val="24"/>
          <w:szCs w:val="24"/>
        </w:rPr>
      </w:pPr>
      <w:r w:rsidRPr="00D868E9">
        <w:rPr>
          <w:rFonts w:cs="Calibri"/>
          <w:sz w:val="24"/>
          <w:szCs w:val="24"/>
        </w:rPr>
        <w:t>W ramach kryteriów merytorycznych punktowych o kolejności projektów na liście w przypadku, gdy dwa lub więcej projektów uzyska równą liczbę punktów ogółem oraz równą liczbę punktów w ramach kryteriów decyduje liczba punktów uzyskanych w kryteriach zgodnie z kolejnością wskazaną poniżej:</w:t>
      </w:r>
    </w:p>
    <w:p w14:paraId="0122F4B9" w14:textId="77777777" w:rsidR="00C94162" w:rsidRPr="00D868E9" w:rsidRDefault="00C94162" w:rsidP="00D868E9">
      <w:pPr>
        <w:pStyle w:val="Akapitzlist"/>
        <w:numPr>
          <w:ilvl w:val="0"/>
          <w:numId w:val="35"/>
        </w:numPr>
        <w:spacing w:after="160" w:line="360" w:lineRule="auto"/>
        <w:rPr>
          <w:rFonts w:cs="Calibri"/>
          <w:sz w:val="24"/>
          <w:szCs w:val="24"/>
        </w:rPr>
      </w:pPr>
      <w:r w:rsidRPr="00D868E9">
        <w:rPr>
          <w:rFonts w:cs="Calibri"/>
          <w:sz w:val="24"/>
          <w:szCs w:val="24"/>
        </w:rPr>
        <w:t xml:space="preserve">"Wskaźniki realizowane w ramach projektu oraz poszczególnych kwot ryczałtowych (jeśli dotyczy) zostały zaplanowane w sposób prawidłowy"; </w:t>
      </w:r>
    </w:p>
    <w:p w14:paraId="0122F4BA" w14:textId="77777777" w:rsidR="00C94162" w:rsidRPr="00D868E9" w:rsidRDefault="00C94162" w:rsidP="00D868E9">
      <w:pPr>
        <w:pStyle w:val="Akapitzlist"/>
        <w:numPr>
          <w:ilvl w:val="0"/>
          <w:numId w:val="35"/>
        </w:numPr>
        <w:spacing w:after="160" w:line="360" w:lineRule="auto"/>
        <w:rPr>
          <w:rFonts w:cs="Calibri"/>
          <w:sz w:val="24"/>
          <w:szCs w:val="24"/>
        </w:rPr>
      </w:pPr>
      <w:r w:rsidRPr="00D868E9">
        <w:rPr>
          <w:rFonts w:cs="Calibri"/>
          <w:sz w:val="24"/>
          <w:szCs w:val="24"/>
        </w:rPr>
        <w:t xml:space="preserve">"Budżet projektu jest zgodny z zasadami kwalifikowalności wydatków"; </w:t>
      </w:r>
    </w:p>
    <w:p w14:paraId="0122F4BB" w14:textId="77777777" w:rsidR="00C94162" w:rsidRPr="00D868E9" w:rsidRDefault="00C94162" w:rsidP="00D868E9">
      <w:pPr>
        <w:pStyle w:val="Akapitzlist"/>
        <w:numPr>
          <w:ilvl w:val="0"/>
          <w:numId w:val="35"/>
        </w:numPr>
        <w:spacing w:after="160" w:line="360" w:lineRule="auto"/>
        <w:rPr>
          <w:rFonts w:cs="Calibri"/>
          <w:sz w:val="24"/>
          <w:szCs w:val="24"/>
        </w:rPr>
      </w:pPr>
      <w:r w:rsidRPr="00D868E9">
        <w:rPr>
          <w:rFonts w:cs="Calibri"/>
          <w:sz w:val="24"/>
          <w:szCs w:val="24"/>
        </w:rPr>
        <w:t>"Zadania w projekcie zostały zaplanowane i opisane w sposób poprawny"</w:t>
      </w:r>
      <w:r w:rsidR="00BC236C" w:rsidRPr="00D868E9">
        <w:rPr>
          <w:rFonts w:cs="Calibri"/>
          <w:sz w:val="24"/>
          <w:szCs w:val="24"/>
        </w:rPr>
        <w:t>.</w:t>
      </w:r>
    </w:p>
    <w:tbl>
      <w:tblPr>
        <w:tblStyle w:val="Tabelasiatki1jasna"/>
        <w:tblW w:w="0" w:type="auto"/>
        <w:tblLayout w:type="fixed"/>
        <w:tblLook w:val="04A0" w:firstRow="1" w:lastRow="0" w:firstColumn="1" w:lastColumn="0" w:noHBand="0" w:noVBand="1"/>
        <w:tblCaption w:val="Kryteria merytoryczne"/>
        <w:tblDescription w:val="W tabeli przedstawiono kryteria merytoryczne wdrażane przez Departament Europejskiego Funduszu Społecznego w ramach EFS+"/>
      </w:tblPr>
      <w:tblGrid>
        <w:gridCol w:w="846"/>
        <w:gridCol w:w="2549"/>
        <w:gridCol w:w="5956"/>
        <w:gridCol w:w="2410"/>
        <w:gridCol w:w="1701"/>
        <w:gridCol w:w="1664"/>
      </w:tblGrid>
      <w:tr w:rsidR="00C94162" w:rsidRPr="00D868E9" w14:paraId="0122F4C2" w14:textId="77777777" w:rsidTr="00D6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vAlign w:val="center"/>
          </w:tcPr>
          <w:p w14:paraId="0122F4BC" w14:textId="77777777" w:rsidR="00C94162" w:rsidRPr="00D868E9" w:rsidRDefault="00C94162" w:rsidP="00D868E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0122F4BD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Nazwa kryterium</w:t>
            </w:r>
          </w:p>
        </w:tc>
        <w:tc>
          <w:tcPr>
            <w:tcW w:w="5956" w:type="dxa"/>
            <w:shd w:val="clear" w:color="auto" w:fill="F2F2F2" w:themeFill="background1" w:themeFillShade="F2"/>
            <w:vAlign w:val="center"/>
          </w:tcPr>
          <w:p w14:paraId="0122F4BE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Definicja kryterium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122F4BF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Czy spełnienie kryterium jest konieczne do przyznania dofinansowania?*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22F4C0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Sposób oceny kryterium*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0122F4C1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Szczególne znaczenie kryterium*</w:t>
            </w:r>
          </w:p>
        </w:tc>
      </w:tr>
      <w:tr w:rsidR="00C94162" w:rsidRPr="00D868E9" w14:paraId="0122F4D1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4C3" w14:textId="77777777" w:rsidR="00C94162" w:rsidRPr="00D868E9" w:rsidRDefault="00C94162" w:rsidP="00D868E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122F4C4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Projekt jest zgodny z przepisami art. 63 ust. 6 i art. 73  ust. 2 lit. f), h), i), j) Rozporządzenia Parlamentu Europejskiego i Rady (UE) nr 2021/1060 z dnia 24 czerwca 2021 r.</w:t>
            </w:r>
          </w:p>
        </w:tc>
        <w:tc>
          <w:tcPr>
            <w:tcW w:w="5956" w:type="dxa"/>
          </w:tcPr>
          <w:p w14:paraId="0122F4C5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Zapisy wniosku wskazują, że:</w:t>
            </w:r>
          </w:p>
          <w:p w14:paraId="0122F4C6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- projekt nie został zakończony w rozumieniu art. 63 ust. 6, </w:t>
            </w:r>
          </w:p>
          <w:p w14:paraId="0122F4C7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- projekt nie obejmuje działań, które stanowiły część operacji podlegającej przeniesieniu produkcji zgodnie z art. 66 lub które stanowiłyby przeniesienie działalności produkcyjnej zgodnie z art. 65 ust. 1 lit. a)</w:t>
            </w:r>
          </w:p>
          <w:p w14:paraId="0122F4C8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- w przypadku realizacji projektu przed dniem złożenia wniosku o dofinansowanie do Instytucji Zarządzającej, przestrzegano obowiązujących przepisów prawa</w:t>
            </w:r>
          </w:p>
          <w:p w14:paraId="0122F4C9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- działań w ramach projektu nie dotyczyła bezpośrednio uzasadniona opinia Komisji w sprawie naruszenia, na mocy art. 258 TFUE, kwestionująca zgodność z prawem i prawidłowość wydatków lub wykonania operacji</w:t>
            </w:r>
          </w:p>
          <w:p w14:paraId="0122F4CA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- wnioskodawca zapewnia uodparnianie na zmiany klimatu w przypadku inwestycji w infrastrukturę o przewidywanej trwałości wynoszącej co najmniej pięć lat.</w:t>
            </w:r>
          </w:p>
          <w:p w14:paraId="0122F4CB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weryfikowane na podstawie pkt B.7.3 wniosku o dofinansowanie.</w:t>
            </w:r>
          </w:p>
          <w:p w14:paraId="0122F4CC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Warunkiem podpisania umowy o dofinansowanie będzie złożenie stosownych oświadczeń potwierdzających spełnienie kryterium (oświadczenia mogą stanowić integralną część umowy).</w:t>
            </w:r>
          </w:p>
        </w:tc>
        <w:tc>
          <w:tcPr>
            <w:tcW w:w="2410" w:type="dxa"/>
          </w:tcPr>
          <w:p w14:paraId="0122F4CD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Konieczne spełnienie - TAK</w:t>
            </w:r>
          </w:p>
          <w:p w14:paraId="0122F4CE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TAK</w:t>
            </w:r>
          </w:p>
        </w:tc>
        <w:tc>
          <w:tcPr>
            <w:tcW w:w="1701" w:type="dxa"/>
          </w:tcPr>
          <w:p w14:paraId="0122F4CF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merytoryczne 0/1</w:t>
            </w:r>
          </w:p>
        </w:tc>
        <w:tc>
          <w:tcPr>
            <w:tcW w:w="1664" w:type="dxa"/>
          </w:tcPr>
          <w:p w14:paraId="0122F4D0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</w:tr>
      <w:tr w:rsidR="00C94162" w:rsidRPr="00D868E9" w14:paraId="0122F4DB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4D2" w14:textId="77777777" w:rsidR="00C94162" w:rsidRPr="00D868E9" w:rsidRDefault="00C94162" w:rsidP="00D868E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122F4D3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We wniosku w sposób prawidłowy zastosowano uproszczone metody rozliczania wydatków.</w:t>
            </w:r>
          </w:p>
        </w:tc>
        <w:tc>
          <w:tcPr>
            <w:tcW w:w="5956" w:type="dxa"/>
          </w:tcPr>
          <w:p w14:paraId="0122F4D4" w14:textId="77777777" w:rsidR="00533D91" w:rsidRPr="00D868E9" w:rsidRDefault="00533D91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W odniesieniu do kosztów pośrednich zastosowano stawkę ryczałtową (jeśli została przewidziana w regulaminie wyboru projektów).</w:t>
            </w:r>
          </w:p>
          <w:p w14:paraId="0122F4D5" w14:textId="71F97994" w:rsidR="00533D91" w:rsidRPr="00D868E9" w:rsidRDefault="00533D91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W projekcie, którego łączny koszt wyrażony w PLN </w:t>
            </w:r>
            <w:r w:rsidR="00E11A37" w:rsidRPr="00D868E9">
              <w:rPr>
                <w:rFonts w:ascii="Calibri" w:hAnsi="Calibri" w:cs="Calibri"/>
                <w:sz w:val="24"/>
                <w:szCs w:val="24"/>
              </w:rPr>
              <w:t>nie</w:t>
            </w:r>
            <w:r w:rsidRPr="00D868E9">
              <w:rPr>
                <w:rFonts w:ascii="Calibri" w:hAnsi="Calibri" w:cs="Calibri"/>
                <w:sz w:val="24"/>
                <w:szCs w:val="24"/>
              </w:rPr>
              <w:t xml:space="preserve"> przekracza równowartości 200 tys. EUR w dniu zawarcia </w:t>
            </w: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umowy o dofinansowanie projektu (do przeliczenia łącznego kosztu projektu stosuje się miesięczny obrachunkowy kurs wymiany waluty stosowany przez KE, aktualny na dzień ogłoszenia naboru), do rozliczania kosztów bezpośrednich zastosowane zostały kwoty ryczałtowe. </w:t>
            </w:r>
          </w:p>
          <w:p w14:paraId="0122F4D6" w14:textId="77777777" w:rsidR="00C94162" w:rsidRPr="00D868E9" w:rsidRDefault="00533D91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zostanie zweryfikowane na podstawie Zakresu finansowego projektu.</w:t>
            </w:r>
          </w:p>
        </w:tc>
        <w:tc>
          <w:tcPr>
            <w:tcW w:w="2410" w:type="dxa"/>
          </w:tcPr>
          <w:p w14:paraId="0122F4D7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Konieczne spełnienie - TAK</w:t>
            </w:r>
          </w:p>
          <w:p w14:paraId="0122F4D8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TAK</w:t>
            </w:r>
          </w:p>
        </w:tc>
        <w:tc>
          <w:tcPr>
            <w:tcW w:w="1701" w:type="dxa"/>
          </w:tcPr>
          <w:p w14:paraId="0122F4D9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merytoryczne 0/1</w:t>
            </w:r>
          </w:p>
        </w:tc>
        <w:tc>
          <w:tcPr>
            <w:tcW w:w="1664" w:type="dxa"/>
          </w:tcPr>
          <w:p w14:paraId="0122F4DA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</w:tr>
      <w:tr w:rsidR="00C94162" w:rsidRPr="00D868E9" w14:paraId="0122F4E4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4DC" w14:textId="77777777" w:rsidR="00C94162" w:rsidRPr="00D868E9" w:rsidRDefault="00C94162" w:rsidP="00D868E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122F4DD" w14:textId="292C3CC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Zapisy wniosku są zgodne z regulaminem wyboru projektów. </w:t>
            </w:r>
          </w:p>
        </w:tc>
        <w:tc>
          <w:tcPr>
            <w:tcW w:w="5956" w:type="dxa"/>
          </w:tcPr>
          <w:p w14:paraId="0122F4DE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Oceniane będzie czy Wnioskodawca zastosował się do warunków określonych przez ION sformułowanych w Regulaminie wyboru projektów, w Podrozdziale dotyczącym typów projektów.</w:t>
            </w:r>
          </w:p>
          <w:p w14:paraId="0122F4DF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W ramach kryterium nie będą oceniane wymogi wskazane w Regulaminie wyboru projektów, które weryfikowane są w ramach pozostałych kryteriów.</w:t>
            </w:r>
          </w:p>
        </w:tc>
        <w:tc>
          <w:tcPr>
            <w:tcW w:w="2410" w:type="dxa"/>
          </w:tcPr>
          <w:p w14:paraId="0122F4E0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Konieczne spełnienie - TAK</w:t>
            </w:r>
          </w:p>
          <w:p w14:paraId="0122F4E1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TAK</w:t>
            </w:r>
          </w:p>
        </w:tc>
        <w:tc>
          <w:tcPr>
            <w:tcW w:w="1701" w:type="dxa"/>
          </w:tcPr>
          <w:p w14:paraId="0122F4E2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merytoryczne 0/1</w:t>
            </w:r>
          </w:p>
        </w:tc>
        <w:tc>
          <w:tcPr>
            <w:tcW w:w="1664" w:type="dxa"/>
          </w:tcPr>
          <w:p w14:paraId="0122F4E3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</w:tr>
      <w:tr w:rsidR="00C94162" w:rsidRPr="00D868E9" w14:paraId="0122F4F0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4E5" w14:textId="77777777" w:rsidR="00C94162" w:rsidRPr="00D868E9" w:rsidRDefault="00C94162" w:rsidP="00D868E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122F4E6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Cel projektu został  sformułowany prawidłowo.</w:t>
            </w:r>
          </w:p>
        </w:tc>
        <w:tc>
          <w:tcPr>
            <w:tcW w:w="5956" w:type="dxa"/>
          </w:tcPr>
          <w:p w14:paraId="0122F4E7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W ramach kryterium oceniane będzie, czy w polu B.2 wniosku o dofinansowanie - Cel projektu i krótki opis jego założeń, wskazano:</w:t>
            </w:r>
          </w:p>
          <w:p w14:paraId="0122F4E8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- prawidłowo sformułowany i adekwatny do założeń cel projektu (tj. cel określa jaki problem jest do rozwiązania i jaki rezultat zostanie osiągnięty dzięki realizacji projektu)</w:t>
            </w:r>
          </w:p>
          <w:p w14:paraId="0122F4E9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- okres realizacji projektu- obszar realizacji projektu</w:t>
            </w:r>
          </w:p>
          <w:p w14:paraId="0122F4EA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- główne zadania i sposoby ich realizacji (metoda, forma)</w:t>
            </w:r>
          </w:p>
          <w:p w14:paraId="0122F4EB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- zakładane efekty projektu.</w:t>
            </w:r>
          </w:p>
        </w:tc>
        <w:tc>
          <w:tcPr>
            <w:tcW w:w="2410" w:type="dxa"/>
          </w:tcPr>
          <w:p w14:paraId="0122F4EC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Konieczne spełnienie - TAK</w:t>
            </w:r>
          </w:p>
          <w:p w14:paraId="0122F4ED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TAK</w:t>
            </w:r>
          </w:p>
        </w:tc>
        <w:tc>
          <w:tcPr>
            <w:tcW w:w="1701" w:type="dxa"/>
          </w:tcPr>
          <w:p w14:paraId="0122F4EE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merytoryczne 0/1</w:t>
            </w:r>
          </w:p>
        </w:tc>
        <w:tc>
          <w:tcPr>
            <w:tcW w:w="1664" w:type="dxa"/>
          </w:tcPr>
          <w:p w14:paraId="0122F4EF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</w:tr>
      <w:tr w:rsidR="00C94162" w:rsidRPr="00D868E9" w14:paraId="0122F4FE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4F1" w14:textId="77777777" w:rsidR="00C94162" w:rsidRPr="00D868E9" w:rsidRDefault="00C94162" w:rsidP="00D868E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122F4F2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Projektodawca posiada doświadczenie i potencjał pozwalające na efektywną realizację projektu.</w:t>
            </w:r>
          </w:p>
        </w:tc>
        <w:tc>
          <w:tcPr>
            <w:tcW w:w="5956" w:type="dxa"/>
          </w:tcPr>
          <w:p w14:paraId="0122F4F3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W ramach kryterium oceniane będzie, czy:</w:t>
            </w:r>
          </w:p>
          <w:p w14:paraId="0122F4F4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1.</w:t>
            </w:r>
            <w:r w:rsidRPr="00D868E9">
              <w:rPr>
                <w:rFonts w:ascii="Calibri" w:hAnsi="Calibri" w:cs="Calibri"/>
                <w:sz w:val="24"/>
                <w:szCs w:val="24"/>
              </w:rPr>
              <w:tab/>
              <w:t>Projektodawca  wykazał jakie przedsięwzięcia realizuje/realizował w ramach PO, RPO lub innych programów.</w:t>
            </w:r>
          </w:p>
          <w:p w14:paraId="0122F4F5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2.</w:t>
            </w:r>
            <w:r w:rsidRPr="00D868E9">
              <w:rPr>
                <w:rFonts w:ascii="Calibri" w:hAnsi="Calibri" w:cs="Calibri"/>
                <w:sz w:val="24"/>
                <w:szCs w:val="24"/>
              </w:rPr>
              <w:tab/>
              <w:t>Projektodawca  prowadzi działalność w obszarze merytorycznym, w którym udzielane będzie wsparcie i zawarł we wniosku informacje, które to potwierdzają.</w:t>
            </w:r>
          </w:p>
          <w:p w14:paraId="0122F4F6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3.</w:t>
            </w:r>
            <w:r w:rsidRPr="00D868E9">
              <w:rPr>
                <w:rFonts w:ascii="Calibri" w:hAnsi="Calibri" w:cs="Calibri"/>
                <w:sz w:val="24"/>
                <w:szCs w:val="24"/>
              </w:rPr>
              <w:tab/>
              <w:t>Projektodawca  posiada odpowiedni potencjał kadrowy (merytoryczny).</w:t>
            </w:r>
          </w:p>
          <w:p w14:paraId="0122F4F7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4.</w:t>
            </w:r>
            <w:r w:rsidRPr="00D868E9">
              <w:rPr>
                <w:rFonts w:ascii="Calibri" w:hAnsi="Calibri" w:cs="Calibri"/>
                <w:sz w:val="24"/>
                <w:szCs w:val="24"/>
              </w:rPr>
              <w:tab/>
              <w:t>Projektodawca posiada odpowiedni potencjał techniczny, w tym lokalowy, konieczny do realizacji zadań merytorycznych w projekcie.</w:t>
            </w:r>
          </w:p>
          <w:p w14:paraId="0122F4F8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5.</w:t>
            </w:r>
            <w:r w:rsidRPr="00D868E9">
              <w:rPr>
                <w:rFonts w:ascii="Calibri" w:hAnsi="Calibri" w:cs="Calibri"/>
                <w:sz w:val="24"/>
                <w:szCs w:val="24"/>
              </w:rPr>
              <w:tab/>
              <w:t xml:space="preserve">Opisany sposób zarządzania projektem gwarantuje jego prawidłową realizację. Wskazany został podział obowiązków i zakres zadań na poszczególnych stanowiskach, wymiar zaangażowania personelu, doświadczenie kadry zarządzającej. </w:t>
            </w:r>
          </w:p>
          <w:p w14:paraId="0122F4F9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weryfikowane na podstawie zapisów wniosku.</w:t>
            </w:r>
          </w:p>
        </w:tc>
        <w:tc>
          <w:tcPr>
            <w:tcW w:w="2410" w:type="dxa"/>
          </w:tcPr>
          <w:p w14:paraId="0122F4FA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Konieczne spełnienie - TAK</w:t>
            </w:r>
          </w:p>
          <w:p w14:paraId="0122F4FB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TAK</w:t>
            </w:r>
          </w:p>
        </w:tc>
        <w:tc>
          <w:tcPr>
            <w:tcW w:w="1701" w:type="dxa"/>
          </w:tcPr>
          <w:p w14:paraId="0122F4FC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merytoryczne 0/1</w:t>
            </w:r>
          </w:p>
        </w:tc>
        <w:tc>
          <w:tcPr>
            <w:tcW w:w="1664" w:type="dxa"/>
          </w:tcPr>
          <w:p w14:paraId="0122F4FD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</w:tr>
      <w:tr w:rsidR="00C94162" w:rsidRPr="00D868E9" w14:paraId="0122F516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4FF" w14:textId="77777777" w:rsidR="00C94162" w:rsidRPr="00D868E9" w:rsidRDefault="00C94162" w:rsidP="00D868E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122F500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Zadania w projekcie zostały zaplanowane i opisane w sposób poprawny.</w:t>
            </w:r>
          </w:p>
        </w:tc>
        <w:tc>
          <w:tcPr>
            <w:tcW w:w="5956" w:type="dxa"/>
          </w:tcPr>
          <w:p w14:paraId="0122F501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A.</w:t>
            </w:r>
            <w:r w:rsidRPr="00D868E9">
              <w:rPr>
                <w:rFonts w:ascii="Calibri" w:hAnsi="Calibri" w:cs="Calibri"/>
                <w:sz w:val="24"/>
                <w:szCs w:val="24"/>
              </w:rPr>
              <w:tab/>
              <w:t>Zakres merytoryczny i organizacja zadań. Opisano rodzaj i charakter wsparcia.</w:t>
            </w:r>
          </w:p>
          <w:p w14:paraId="0122F502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Należy przyznać punkty w zależności od spełnienia kryterium:</w:t>
            </w:r>
          </w:p>
          <w:p w14:paraId="0122F503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Tak – 4 pkt </w:t>
            </w:r>
          </w:p>
          <w:p w14:paraId="0122F504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Częściowo – 1-3 pkt, w zależności od skali uchybień</w:t>
            </w:r>
          </w:p>
          <w:p w14:paraId="0122F505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Nie – 0 pkt</w:t>
            </w:r>
          </w:p>
          <w:p w14:paraId="0122F506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B.</w:t>
            </w:r>
            <w:r w:rsidRPr="00D868E9">
              <w:rPr>
                <w:rFonts w:ascii="Calibri" w:hAnsi="Calibri" w:cs="Calibri"/>
                <w:sz w:val="24"/>
                <w:szCs w:val="24"/>
              </w:rPr>
              <w:tab/>
              <w:t>Opisano liczbę instytucji (jeśli dotyczy), które otrzymają wsparcie.</w:t>
            </w:r>
          </w:p>
          <w:p w14:paraId="0122F507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Należy przyznać punkty w zależności od spełnienia kryterium:</w:t>
            </w:r>
          </w:p>
          <w:p w14:paraId="0122F508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Tak – 1 pkt </w:t>
            </w:r>
          </w:p>
          <w:p w14:paraId="0122F509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– 0 pkt</w:t>
            </w:r>
          </w:p>
          <w:p w14:paraId="0122F50A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C.</w:t>
            </w:r>
            <w:r w:rsidRPr="00D868E9">
              <w:rPr>
                <w:rFonts w:ascii="Calibri" w:hAnsi="Calibri" w:cs="Calibri"/>
                <w:sz w:val="24"/>
                <w:szCs w:val="24"/>
              </w:rPr>
              <w:tab/>
              <w:t>Opisano  wymiar godzinowy poszczególnych form wsparcia lub w inny (adekwatny) sposób określono sposób ich organizacji.</w:t>
            </w:r>
          </w:p>
          <w:p w14:paraId="0122F50B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Należy przyznać punkty w zależności od spełnienia kryterium:</w:t>
            </w:r>
          </w:p>
          <w:p w14:paraId="0122F50C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Tak – 1 pkt </w:t>
            </w:r>
          </w:p>
          <w:p w14:paraId="0122F50D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– 0 pkt</w:t>
            </w:r>
          </w:p>
        </w:tc>
        <w:tc>
          <w:tcPr>
            <w:tcW w:w="2410" w:type="dxa"/>
          </w:tcPr>
          <w:p w14:paraId="0122F50E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Konieczne spełnienie – TAK (minimum punktowe)</w:t>
            </w:r>
          </w:p>
          <w:p w14:paraId="0122F50F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TAK</w:t>
            </w:r>
          </w:p>
        </w:tc>
        <w:tc>
          <w:tcPr>
            <w:tcW w:w="1701" w:type="dxa"/>
          </w:tcPr>
          <w:p w14:paraId="0122F510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merytoryczne punktowe</w:t>
            </w:r>
          </w:p>
          <w:p w14:paraId="0122F511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122F512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Liczba punktów </w:t>
            </w:r>
            <w:r w:rsidRPr="00D868E9">
              <w:rPr>
                <w:rFonts w:ascii="Calibri" w:hAnsi="Calibri" w:cs="Calibri"/>
                <w:sz w:val="24"/>
                <w:szCs w:val="24"/>
              </w:rPr>
              <w:t xml:space="preserve">możliwych do uzyskania: 0-6, </w:t>
            </w:r>
          </w:p>
          <w:p w14:paraId="0122F513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122F514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Minimum punktowe: 4</w:t>
            </w:r>
          </w:p>
        </w:tc>
        <w:tc>
          <w:tcPr>
            <w:tcW w:w="1664" w:type="dxa"/>
          </w:tcPr>
          <w:p w14:paraId="0122F515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Kryterium rozstrzygające zgodnie z opisem w części 2 – Kryteria merytoryczne</w:t>
            </w:r>
          </w:p>
        </w:tc>
      </w:tr>
      <w:tr w:rsidR="00C94162" w:rsidRPr="00D868E9" w14:paraId="0122F532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517" w14:textId="77777777" w:rsidR="00C94162" w:rsidRPr="00D868E9" w:rsidRDefault="00C94162" w:rsidP="00D868E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122F518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Wskaźniki realizowane w ramach projektu oraz poszczególnych kwot ryczałtowych (jeśli dotyczy) zostały zaplanowane w sposób prawidłowy.</w:t>
            </w:r>
          </w:p>
        </w:tc>
        <w:tc>
          <w:tcPr>
            <w:tcW w:w="5956" w:type="dxa"/>
          </w:tcPr>
          <w:p w14:paraId="0122F519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A.</w:t>
            </w:r>
            <w:r w:rsidRPr="00D868E9">
              <w:rPr>
                <w:rFonts w:ascii="Calibri" w:hAnsi="Calibri" w:cs="Calibri"/>
                <w:sz w:val="24"/>
                <w:szCs w:val="24"/>
              </w:rPr>
              <w:tab/>
              <w:t>Projekt realizuje wskaźniki określone w regulaminie wyboru  projektów jako obowiązkowe dla danego typu projektu.</w:t>
            </w:r>
          </w:p>
          <w:p w14:paraId="0122F51A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W przypadku projektów rozliczanych za pomocą kwot ryczałtowych - do każdej kwoty ryczałtowej przyporządkowano minimum jeden wskaźnik.</w:t>
            </w:r>
          </w:p>
          <w:p w14:paraId="0122F51B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Należy przyznać punkty w zależności od spełnienia kryterium:</w:t>
            </w:r>
          </w:p>
          <w:p w14:paraId="0122F51C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Tak – 3 pkt</w:t>
            </w:r>
          </w:p>
          <w:p w14:paraId="0122F51D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Częściowo – 1-2 pkt, w zależności od skali uchybień</w:t>
            </w:r>
          </w:p>
          <w:p w14:paraId="0122F51E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Nie – 0 pkt</w:t>
            </w:r>
          </w:p>
          <w:p w14:paraId="0122F51F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B.</w:t>
            </w:r>
            <w:r w:rsidRPr="00D868E9">
              <w:rPr>
                <w:rFonts w:ascii="Calibri" w:hAnsi="Calibri" w:cs="Calibri"/>
                <w:sz w:val="24"/>
                <w:szCs w:val="24"/>
              </w:rPr>
              <w:tab/>
              <w:t>Wartości docelowe wskaźników produktu i rezultatu są adekwatne do zaplanowanych działań i wydatków w projekcie.</w:t>
            </w:r>
          </w:p>
          <w:p w14:paraId="0122F520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W przypadku projektów rozliczanych za pomocą kwot ryczałtowych – dodatkowo wartość wskaźników została prawidłowo określona dla poszczególnych kwot ryczałtowych.</w:t>
            </w:r>
          </w:p>
          <w:p w14:paraId="0122F521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Należy przyznać punkty w zależności od spełnienia kryterium:</w:t>
            </w:r>
          </w:p>
          <w:p w14:paraId="0122F522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Tak – 5 pkt</w:t>
            </w:r>
          </w:p>
          <w:p w14:paraId="0122F523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Częściowo – 1-4 pkt, w zależności od skali uchybień</w:t>
            </w:r>
          </w:p>
          <w:p w14:paraId="0122F524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Nie – 0 pkt</w:t>
            </w:r>
          </w:p>
          <w:p w14:paraId="0122F525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C.</w:t>
            </w:r>
            <w:r w:rsidRPr="00D868E9">
              <w:rPr>
                <w:rFonts w:ascii="Calibri" w:hAnsi="Calibri" w:cs="Calibri"/>
                <w:sz w:val="24"/>
                <w:szCs w:val="24"/>
              </w:rPr>
              <w:tab/>
              <w:t>Sposób oraz częstotliwość monitorowania i pomiaru wskaźników zostały opisane w sposób poprawny i zgodny z definicją wskaźników.</w:t>
            </w:r>
          </w:p>
          <w:p w14:paraId="0122F526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Należy przyznać punkty w zależności od spełnienia kryterium:</w:t>
            </w:r>
          </w:p>
          <w:p w14:paraId="0122F527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Tak – 4 pkt </w:t>
            </w:r>
          </w:p>
          <w:p w14:paraId="0122F528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Częściowo – 1-3 pkt, w zależności od skali uchybień</w:t>
            </w:r>
          </w:p>
          <w:p w14:paraId="0122F529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– 0 pkt</w:t>
            </w:r>
          </w:p>
        </w:tc>
        <w:tc>
          <w:tcPr>
            <w:tcW w:w="2410" w:type="dxa"/>
          </w:tcPr>
          <w:p w14:paraId="0122F52A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Konieczne spełnienie – TAK (minimum punktowe)</w:t>
            </w:r>
          </w:p>
          <w:p w14:paraId="0122F52B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TAK</w:t>
            </w:r>
          </w:p>
        </w:tc>
        <w:tc>
          <w:tcPr>
            <w:tcW w:w="1701" w:type="dxa"/>
          </w:tcPr>
          <w:p w14:paraId="0122F52C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merytoryczne punktowe</w:t>
            </w:r>
          </w:p>
          <w:p w14:paraId="0122F52D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122F52E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Liczba punktów możliwych do uzyskania: 0-12, </w:t>
            </w:r>
          </w:p>
          <w:p w14:paraId="0122F52F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122F530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Minimum punktowe: 7</w:t>
            </w:r>
          </w:p>
        </w:tc>
        <w:tc>
          <w:tcPr>
            <w:tcW w:w="1664" w:type="dxa"/>
          </w:tcPr>
          <w:p w14:paraId="0122F531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Kryterium rozstrzygające zgodnie z opisem w części 2 – Kryteria merytoryczne</w:t>
            </w:r>
          </w:p>
        </w:tc>
      </w:tr>
      <w:tr w:rsidR="005648E6" w:rsidRPr="00D868E9" w14:paraId="0122F54F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533" w14:textId="77777777" w:rsidR="005648E6" w:rsidRPr="00D868E9" w:rsidRDefault="005648E6" w:rsidP="00D868E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122F534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Budżet projektu jest zgodny z zasadami </w:t>
            </w: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kwalifikowalności wydatków.</w:t>
            </w:r>
          </w:p>
        </w:tc>
        <w:tc>
          <w:tcPr>
            <w:tcW w:w="5956" w:type="dxa"/>
          </w:tcPr>
          <w:p w14:paraId="0122F535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W ramach kryterium weryfikowane będzie czy we wniosku zidentyfikowano wydatki w całości lub w części niekwalifikowalne, w tym:</w:t>
            </w:r>
          </w:p>
          <w:p w14:paraId="0122F536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• wydatki zbędne, nieuzasadnione, nieracjonalne i nieadekwatne do zakresu merytorycznego projektu, w tym opisu grupy docelowej i planowanego wsparcia;</w:t>
            </w:r>
          </w:p>
          <w:p w14:paraId="0122F537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• wydatki wchodzące do katalogu kosztów pośrednich, które zostały wykazane w ramach kosztów bezpośrednich;</w:t>
            </w:r>
          </w:p>
          <w:p w14:paraId="0122F538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• wydatki wskazane, jako niemożliwe do ponoszenia w "Wytycznych dotyczących kwalifikowalności wydatków na lata 2021-2027" oraz Regulaminie wyboru projektów;</w:t>
            </w:r>
          </w:p>
          <w:p w14:paraId="0122F539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• wydatki zawyżone w stosunku do cen rynkowych, które nie zostały właściwie uzasadnione.</w:t>
            </w:r>
          </w:p>
          <w:p w14:paraId="0122F53A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W zależności od wysokości wydatków niekwalifikowalnych zidentyfikowanych w projekcie przyznaje się następującą  liczbę punktów: </w:t>
            </w:r>
          </w:p>
          <w:p w14:paraId="0122F53B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wszystkie wydatki kwalifikowalne - 6 pkt</w:t>
            </w:r>
          </w:p>
          <w:p w14:paraId="0122F53C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mniej niż 1% wartości wydatków niekwalifikowalnych – 5 pkt</w:t>
            </w:r>
          </w:p>
          <w:p w14:paraId="0122F53D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1 % - 4,99% wartości wydatków niekwalifikowalnych - 4 pkt</w:t>
            </w:r>
          </w:p>
          <w:p w14:paraId="0122F53E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5% - 9,99% wartości wydatków niekwalifikowalnych - 3 pkt</w:t>
            </w:r>
          </w:p>
          <w:p w14:paraId="0122F53F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10% - 14,99% wartości wydatków niekwalifikowalnych - 2 pkt</w:t>
            </w:r>
          </w:p>
          <w:p w14:paraId="0122F540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15% - 24,99% wartości wydatków niekwalifikowalnych - 1 pkt </w:t>
            </w:r>
          </w:p>
          <w:p w14:paraId="0122F541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25% wartości wydatków niekwalifikowalnych i więcej - 0 pkt </w:t>
            </w:r>
          </w:p>
          <w:p w14:paraId="0122F542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% wartości wydatków kwalifikowalnych liczony jest od kosztów bezpośrednich.</w:t>
            </w:r>
          </w:p>
          <w:p w14:paraId="0122F543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Spełnienie kryterium:</w:t>
            </w:r>
          </w:p>
          <w:p w14:paraId="0122F544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Tak – 6 pkt</w:t>
            </w:r>
          </w:p>
          <w:p w14:paraId="0122F545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Częściowo -  1-5 pkt</w:t>
            </w:r>
          </w:p>
          <w:p w14:paraId="0122F546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– 0 pkt</w:t>
            </w:r>
          </w:p>
        </w:tc>
        <w:tc>
          <w:tcPr>
            <w:tcW w:w="2410" w:type="dxa"/>
          </w:tcPr>
          <w:p w14:paraId="0122F547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Konieczne spełnienie – TAK (minimum punktowe)</w:t>
            </w:r>
          </w:p>
          <w:p w14:paraId="0122F548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TAK</w:t>
            </w:r>
          </w:p>
        </w:tc>
        <w:tc>
          <w:tcPr>
            <w:tcW w:w="1701" w:type="dxa"/>
          </w:tcPr>
          <w:p w14:paraId="0122F549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Kryterium merytoryczne punktowe</w:t>
            </w:r>
          </w:p>
          <w:p w14:paraId="0122F54A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122F54B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Liczba punktów możliwych do uzyskania: 0-6, </w:t>
            </w:r>
          </w:p>
          <w:p w14:paraId="0122F54C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122F54D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Minimum punktowe: 1</w:t>
            </w:r>
          </w:p>
        </w:tc>
        <w:tc>
          <w:tcPr>
            <w:tcW w:w="1664" w:type="dxa"/>
          </w:tcPr>
          <w:p w14:paraId="0122F54E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Kryterium rozstrzygające zgodnie z opisem w </w:t>
            </w: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części 2 – Kryteria merytoryczne</w:t>
            </w:r>
          </w:p>
        </w:tc>
      </w:tr>
      <w:tr w:rsidR="00C94162" w:rsidRPr="00D868E9" w14:paraId="0122F561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550" w14:textId="77777777" w:rsidR="00C94162" w:rsidRPr="00D868E9" w:rsidRDefault="00C94162" w:rsidP="00D868E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122F551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Budżet został sporządzony w sposób prawidłowy</w:t>
            </w:r>
          </w:p>
        </w:tc>
        <w:tc>
          <w:tcPr>
            <w:tcW w:w="5956" w:type="dxa"/>
          </w:tcPr>
          <w:p w14:paraId="0122F552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1.We wniosku wskazano właściwy poziom i formę wkładu własnego;</w:t>
            </w:r>
          </w:p>
          <w:p w14:paraId="0122F553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2.We wniosku wskazano uzasadnienia wydatków w ramach kategorii limitowanych;</w:t>
            </w:r>
          </w:p>
          <w:p w14:paraId="0122F554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3.Wydatki przedstawiono w sposób umożliwiający obiektywną ocenę wartości jednostkowych;</w:t>
            </w:r>
          </w:p>
          <w:p w14:paraId="0122F555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4.We wniosku wskazano formę zaangażowania i szacunkowy wymiar czasu pracy personelu i kadry niezbędnej do realizacji zadań merytorycznych (etat/liczba godzin);</w:t>
            </w:r>
          </w:p>
          <w:p w14:paraId="0122F556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5.Budżet jest poprawny technicznie,  nie zawiera żadnych uchybień, nieścisłości, błędów w konstrukcji.</w:t>
            </w:r>
          </w:p>
          <w:p w14:paraId="0122F557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Tak - 1 pkt (wszystkie wskazane wyżej warunki zostały spełnione)</w:t>
            </w:r>
          </w:p>
          <w:p w14:paraId="0122F558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Nie - 0 pkt   (nie jeżeli którykolwiek z wymienionych powyżej warunków nie został spełniony)</w:t>
            </w:r>
          </w:p>
        </w:tc>
        <w:tc>
          <w:tcPr>
            <w:tcW w:w="2410" w:type="dxa"/>
          </w:tcPr>
          <w:p w14:paraId="0122F559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Konieczne spełnienie – NIE</w:t>
            </w:r>
          </w:p>
          <w:p w14:paraId="0122F55A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Podlega uzupełnieniom - TAK</w:t>
            </w:r>
          </w:p>
        </w:tc>
        <w:tc>
          <w:tcPr>
            <w:tcW w:w="1701" w:type="dxa"/>
          </w:tcPr>
          <w:p w14:paraId="0122F55B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Kryterium merytoryczne punktowe</w:t>
            </w:r>
          </w:p>
          <w:p w14:paraId="0122F55C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122F55D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 xml:space="preserve">Liczba punktów </w:t>
            </w: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możliwych do uzyskania: 0-1, </w:t>
            </w:r>
          </w:p>
          <w:p w14:paraId="0122F55E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122F55F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t>Minimum punktowe: BRAK</w:t>
            </w:r>
          </w:p>
        </w:tc>
        <w:tc>
          <w:tcPr>
            <w:tcW w:w="1664" w:type="dxa"/>
          </w:tcPr>
          <w:p w14:paraId="0122F560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868E9">
              <w:rPr>
                <w:rFonts w:ascii="Calibri" w:hAnsi="Calibri" w:cs="Calibri"/>
                <w:sz w:val="24"/>
                <w:szCs w:val="24"/>
              </w:rPr>
              <w:lastRenderedPageBreak/>
              <w:t>Nie dotyczy</w:t>
            </w:r>
          </w:p>
        </w:tc>
      </w:tr>
    </w:tbl>
    <w:p w14:paraId="0122F562" w14:textId="77777777" w:rsidR="00C94162" w:rsidRPr="00C94162" w:rsidRDefault="00C94162" w:rsidP="00C94162">
      <w:pPr>
        <w:rPr>
          <w:rFonts w:asciiTheme="minorHAnsi" w:hAnsiTheme="minorHAnsi" w:cstheme="minorHAnsi"/>
        </w:rPr>
      </w:pPr>
    </w:p>
    <w:p w14:paraId="0122F563" w14:textId="77777777" w:rsidR="00C94162" w:rsidRPr="00D868E9" w:rsidRDefault="00C94162" w:rsidP="00D868E9">
      <w:pPr>
        <w:pStyle w:val="Nagwek2"/>
        <w:rPr>
          <w:b/>
          <w:color w:val="auto"/>
        </w:rPr>
      </w:pPr>
      <w:r w:rsidRPr="00D868E9">
        <w:rPr>
          <w:b/>
          <w:color w:val="auto"/>
        </w:rPr>
        <w:lastRenderedPageBreak/>
        <w:t>Kryteria</w:t>
      </w:r>
      <w:r w:rsidR="005648E6" w:rsidRPr="00D868E9">
        <w:rPr>
          <w:b/>
          <w:color w:val="auto"/>
        </w:rPr>
        <w:t xml:space="preserve"> ogólne</w:t>
      </w:r>
      <w:r w:rsidRPr="00D868E9">
        <w:rPr>
          <w:b/>
          <w:color w:val="auto"/>
        </w:rPr>
        <w:t xml:space="preserve"> horyzontalne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ryteria horyzontalne"/>
        <w:tblDescription w:val="W tabeli przedstawiono kryteria horyzontalne wdrażane przez Departament Europejskiego Funduszu Społecznego w ramach EFS+"/>
      </w:tblPr>
      <w:tblGrid>
        <w:gridCol w:w="693"/>
        <w:gridCol w:w="2661"/>
        <w:gridCol w:w="5740"/>
        <w:gridCol w:w="2513"/>
        <w:gridCol w:w="2196"/>
        <w:gridCol w:w="1323"/>
      </w:tblGrid>
      <w:tr w:rsidR="00C94162" w:rsidRPr="00D868E9" w14:paraId="0122F56A" w14:textId="77777777" w:rsidTr="00D6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shd w:val="clear" w:color="auto" w:fill="F2F2F2" w:themeFill="background1" w:themeFillShade="F2"/>
            <w:vAlign w:val="center"/>
          </w:tcPr>
          <w:p w14:paraId="0122F564" w14:textId="77777777" w:rsidR="00C94162" w:rsidRPr="00D868E9" w:rsidRDefault="00C94162" w:rsidP="00D868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0122F565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Nazwa kryterium</w:t>
            </w:r>
          </w:p>
        </w:tc>
        <w:tc>
          <w:tcPr>
            <w:tcW w:w="5799" w:type="dxa"/>
            <w:shd w:val="clear" w:color="auto" w:fill="F2F2F2" w:themeFill="background1" w:themeFillShade="F2"/>
            <w:vAlign w:val="center"/>
          </w:tcPr>
          <w:p w14:paraId="0122F566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Definicja kryterium</w:t>
            </w:r>
          </w:p>
        </w:tc>
        <w:tc>
          <w:tcPr>
            <w:tcW w:w="2524" w:type="dxa"/>
            <w:shd w:val="clear" w:color="auto" w:fill="F2F2F2" w:themeFill="background1" w:themeFillShade="F2"/>
            <w:vAlign w:val="center"/>
          </w:tcPr>
          <w:p w14:paraId="0122F567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Czy spełnienie kryterium jest konieczne do przyznania dofinansowania?*</w:t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122F568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Sposób oceny kryterium*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0122F569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Szczególne znaczenie kryterium*</w:t>
            </w:r>
          </w:p>
        </w:tc>
      </w:tr>
      <w:tr w:rsidR="005648E6" w:rsidRPr="00D868E9" w14:paraId="0122F577" w14:textId="77777777" w:rsidTr="0056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122F56B" w14:textId="77777777" w:rsidR="005648E6" w:rsidRPr="00D868E9" w:rsidRDefault="005648E6" w:rsidP="00D868E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122F56C" w14:textId="77777777" w:rsidR="005648E6" w:rsidRPr="00D868E9" w:rsidRDefault="006003A3" w:rsidP="00D868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Projekt będzie miał pozytywny wpływ na zasadę równości szans i niedyskryminacji, w tym dostępności dla osób z niepełnosprawnościami</w:t>
            </w:r>
          </w:p>
        </w:tc>
        <w:tc>
          <w:tcPr>
            <w:tcW w:w="5799" w:type="dxa"/>
          </w:tcPr>
          <w:p w14:paraId="0122F56D" w14:textId="77777777" w:rsidR="006003A3" w:rsidRPr="00D868E9" w:rsidRDefault="006003A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 xml:space="preserve">Przez pozytywny wpływ należy rozumieć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uwzględnić uniwersalne projektowanie (np. poprzez standardy dostępności) lub jeśli to niemożliwe – racjonalne usprawnienie (oba </w:t>
            </w:r>
            <w:r w:rsidRPr="00D868E9">
              <w:rPr>
                <w:rFonts w:cstheme="minorHAnsi"/>
                <w:sz w:val="24"/>
                <w:szCs w:val="24"/>
              </w:rPr>
              <w:lastRenderedPageBreak/>
              <w:t>zdefiniowanie w ww. Wytycznych). W przypadku nowych produktów projektów (np. zasobów cyfrowych, środków transportu, infrastruktury, usług) muszą one być zgodne z zasadami uniwersalnego projektowania – co oznacza co najmniej zastosowanie standardów dostępności dla polityki spójności na lata 2021-2027. W przypadku obiektów i zasobów modernizowanych  (m.in. przebudowa , rozbudowa  ), zastosowanie standardów dostępności jest obowiązkowe, o ile pozwalają na to warunki techniczne i zakres prowadzonej modernizacji.</w:t>
            </w:r>
          </w:p>
          <w:p w14:paraId="0122F56E" w14:textId="77777777" w:rsidR="006003A3" w:rsidRPr="00D868E9" w:rsidRDefault="006003A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</w:t>
            </w:r>
            <w:r w:rsidRPr="00D868E9">
              <w:rPr>
                <w:rFonts w:cstheme="minorHAnsi"/>
                <w:sz w:val="24"/>
                <w:szCs w:val="24"/>
              </w:rPr>
              <w:lastRenderedPageBreak/>
              <w:t>dostępności cyfrowej dokumentacji projektowej publikowanej na stronach zgodnych z WCAG 2.1, nawet w przypadku braku kwalifikowalności takich wydatków w projekcie.</w:t>
            </w:r>
          </w:p>
          <w:p w14:paraId="0122F56F" w14:textId="77777777" w:rsidR="006003A3" w:rsidRPr="00D868E9" w:rsidRDefault="006003A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</w:t>
            </w:r>
          </w:p>
          <w:p w14:paraId="0122F570" w14:textId="77777777" w:rsidR="006003A3" w:rsidRPr="00D868E9" w:rsidRDefault="006003A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 xml:space="preserve">W przypadku negatywnego lub neutralnego wpływu projektu na zasadę równości szans i niedyskryminacji, w </w:t>
            </w:r>
            <w:r w:rsidRPr="00D868E9">
              <w:rPr>
                <w:rFonts w:cstheme="minorHAnsi"/>
                <w:sz w:val="24"/>
                <w:szCs w:val="24"/>
              </w:rPr>
              <w:lastRenderedPageBreak/>
              <w:t>tym dostępności dla osób z niepełnosprawnościami, kryterium zostanie uznane za niespełnione.</w:t>
            </w:r>
          </w:p>
          <w:p w14:paraId="0122F571" w14:textId="77777777" w:rsidR="005648E6" w:rsidRPr="00D868E9" w:rsidRDefault="006003A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Kryterium zostanie zweryfikowane na podstawie zapisów we wniosku o dofinansowanie projektu, zwłaszcza zapisów z części B.7.1 Realizacja zasad horyzontalnych.</w:t>
            </w:r>
          </w:p>
        </w:tc>
        <w:tc>
          <w:tcPr>
            <w:tcW w:w="2524" w:type="dxa"/>
          </w:tcPr>
          <w:p w14:paraId="0122F572" w14:textId="77777777" w:rsidR="00E01378" w:rsidRPr="00D868E9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lastRenderedPageBreak/>
              <w:t>Konieczne spełnienie – TAK</w:t>
            </w:r>
          </w:p>
          <w:p w14:paraId="0122F573" w14:textId="77777777" w:rsidR="005648E6" w:rsidRPr="00D868E9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Podlega uzupełnieniom - TAK</w:t>
            </w:r>
          </w:p>
        </w:tc>
        <w:tc>
          <w:tcPr>
            <w:tcW w:w="2212" w:type="dxa"/>
          </w:tcPr>
          <w:p w14:paraId="0122F574" w14:textId="77777777" w:rsidR="00E01378" w:rsidRPr="00D868E9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 xml:space="preserve">Kryterium horyzontalne </w:t>
            </w:r>
          </w:p>
          <w:p w14:paraId="0122F575" w14:textId="77777777" w:rsidR="005648E6" w:rsidRPr="00D868E9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0/1</w:t>
            </w:r>
          </w:p>
        </w:tc>
        <w:tc>
          <w:tcPr>
            <w:tcW w:w="1231" w:type="dxa"/>
          </w:tcPr>
          <w:p w14:paraId="0122F576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648E6" w:rsidRPr="00D868E9" w:rsidDel="000A18E2" w14:paraId="0122F584" w14:textId="77777777" w:rsidTr="0056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122F578" w14:textId="77777777" w:rsidR="005648E6" w:rsidRPr="00D868E9" w:rsidDel="000A18E2" w:rsidRDefault="005648E6" w:rsidP="00D868E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122F579" w14:textId="77777777" w:rsidR="005648E6" w:rsidRPr="00D868E9" w:rsidDel="000A18E2" w:rsidRDefault="006003A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Projekt jest zgodny z zasadą równości kobiet i mężczyzn</w:t>
            </w:r>
          </w:p>
        </w:tc>
        <w:tc>
          <w:tcPr>
            <w:tcW w:w="5799" w:type="dxa"/>
          </w:tcPr>
          <w:p w14:paraId="0122F57A" w14:textId="77777777" w:rsidR="006003A3" w:rsidRPr="00D868E9" w:rsidRDefault="006003A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 xml:space="preserve">Przez zgodność z zasadą równości kobiet i mężczyzn należy rozumieć pozytywny lub neutralny wpływ projektu na tę zasadę. </w:t>
            </w:r>
          </w:p>
          <w:p w14:paraId="0122F57B" w14:textId="77777777" w:rsidR="006003A3" w:rsidRPr="00D868E9" w:rsidRDefault="006003A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 xml:space="preserve">Pozytywny wpływ to z jednej strony zaplanowanie takich działań w projekcie, które wpłyną na wyrównywanie szans danej płci będącej w gorszym położeniu (o ile takie nierówności zostały zdiagnozowane w projekcie). Z drugiej strony zaś </w:t>
            </w:r>
            <w:r w:rsidRPr="00D868E9">
              <w:rPr>
                <w:rFonts w:cstheme="minorHAnsi"/>
                <w:sz w:val="24"/>
                <w:szCs w:val="24"/>
              </w:rPr>
              <w:lastRenderedPageBreak/>
              <w:t>stworzenie takich mechanizmów, aby na żadnym etapie wdrażania projektu nie dochodziło do dyskryminacji i wykluczenia ze względu na płeć.</w:t>
            </w:r>
          </w:p>
          <w:p w14:paraId="0122F57C" w14:textId="77777777" w:rsidR="006003A3" w:rsidRPr="00D868E9" w:rsidRDefault="006003A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Neutralność projektu w stosunku do zasady równości kobiet i mężczyzn dopuszczalna jest tylko w sytuacji, kiedy w ramach projektu wnioskodawca wskaże szczegółowe uzasadnienie, dlaczego dany projekt nie jest w stanie zrealizować jakichkolwiek działań wpływających na spełnienie ww. zasady, a</w:t>
            </w:r>
            <w:r w:rsidR="005225E4" w:rsidRPr="00D868E9">
              <w:rPr>
                <w:rFonts w:cstheme="minorHAnsi"/>
                <w:sz w:val="24"/>
                <w:szCs w:val="24"/>
              </w:rPr>
              <w:t> </w:t>
            </w:r>
            <w:r w:rsidRPr="00D868E9">
              <w:rPr>
                <w:rFonts w:cstheme="minorHAnsi"/>
                <w:sz w:val="24"/>
                <w:szCs w:val="24"/>
              </w:rPr>
              <w:t xml:space="preserve">uzasadnienie to zostanie uznane przez instytucję oceniającą projekt za adekwatne i wystarczające. </w:t>
            </w:r>
          </w:p>
          <w:p w14:paraId="0122F57D" w14:textId="77777777" w:rsidR="006003A3" w:rsidRPr="00D868E9" w:rsidRDefault="006003A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W przypadku negatywnego wpływu na zasadę równości kobiet i mężczyzn kryterium zostanie uznane za niespełnione.</w:t>
            </w:r>
          </w:p>
          <w:p w14:paraId="0122F57E" w14:textId="77777777" w:rsidR="005648E6" w:rsidRPr="00D868E9" w:rsidDel="000A18E2" w:rsidRDefault="006003A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lastRenderedPageBreak/>
              <w:t>Kryterium zostanie zweryfikowane na podstawie zapisów we wniosku o dofinansowanie projektu, zwłaszcza zapisów z części B.7.1 Realizacja zasad horyzontalnych.</w:t>
            </w:r>
          </w:p>
        </w:tc>
        <w:tc>
          <w:tcPr>
            <w:tcW w:w="2524" w:type="dxa"/>
          </w:tcPr>
          <w:p w14:paraId="0122F57F" w14:textId="77777777" w:rsidR="00E01378" w:rsidRPr="00D868E9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lastRenderedPageBreak/>
              <w:t>Konieczne spełnienie – TAK</w:t>
            </w:r>
          </w:p>
          <w:p w14:paraId="0122F580" w14:textId="77777777" w:rsidR="005648E6" w:rsidRPr="00D868E9" w:rsidDel="000A18E2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Podlega uzupełnieniom - TAK</w:t>
            </w:r>
          </w:p>
        </w:tc>
        <w:tc>
          <w:tcPr>
            <w:tcW w:w="2212" w:type="dxa"/>
          </w:tcPr>
          <w:p w14:paraId="0122F581" w14:textId="77777777" w:rsidR="00E01378" w:rsidRPr="00D868E9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 xml:space="preserve">Kryterium horyzontalne </w:t>
            </w:r>
          </w:p>
          <w:p w14:paraId="0122F582" w14:textId="77777777" w:rsidR="005648E6" w:rsidRPr="00D868E9" w:rsidDel="000A18E2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0/1</w:t>
            </w:r>
          </w:p>
        </w:tc>
        <w:tc>
          <w:tcPr>
            <w:tcW w:w="1231" w:type="dxa"/>
          </w:tcPr>
          <w:p w14:paraId="0122F583" w14:textId="77777777" w:rsidR="005648E6" w:rsidRPr="00D868E9" w:rsidDel="000A18E2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648E6" w:rsidRPr="00D868E9" w14:paraId="0122F590" w14:textId="77777777" w:rsidTr="0056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122F585" w14:textId="77777777" w:rsidR="005648E6" w:rsidRPr="00D868E9" w:rsidRDefault="005648E6" w:rsidP="00D868E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122F586" w14:textId="0635BD20" w:rsidR="00F00A33" w:rsidRPr="00D868E9" w:rsidRDefault="005648E6" w:rsidP="00D868E9">
            <w:pPr>
              <w:pStyle w:val="paragraph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68E9">
              <w:rPr>
                <w:rStyle w:val="normaltextrun"/>
                <w:rFonts w:asciiTheme="minorHAnsi" w:hAnsiTheme="minorHAnsi" w:cstheme="minorHAnsi"/>
              </w:rPr>
              <w:t>Projekt jest zgodny z Kartą Praw Podstawowych Unii Europejskiej z dnia 26 października 2012 r. (Dz. Urz. UE C 326 z 26.10.2012, str. 391), w</w:t>
            </w:r>
            <w:r w:rsidRPr="00D868E9">
              <w:rPr>
                <w:rStyle w:val="scxw191472191"/>
                <w:rFonts w:asciiTheme="minorHAnsi" w:hAnsiTheme="minorHAnsi" w:cstheme="minorHAnsi"/>
              </w:rPr>
              <w:t> </w:t>
            </w:r>
            <w:r w:rsidRPr="00D868E9">
              <w:rPr>
                <w:rStyle w:val="normaltextrun"/>
                <w:rFonts w:asciiTheme="minorHAnsi" w:hAnsiTheme="minorHAnsi" w:cstheme="minorHAnsi"/>
              </w:rPr>
              <w:t xml:space="preserve">zakresie odnoszącym się do sposobu realizacji, </w:t>
            </w:r>
            <w:r w:rsidRPr="00D868E9">
              <w:rPr>
                <w:rStyle w:val="normaltextrun"/>
                <w:rFonts w:asciiTheme="minorHAnsi" w:hAnsiTheme="minorHAnsi" w:cstheme="minorHAnsi"/>
              </w:rPr>
              <w:lastRenderedPageBreak/>
              <w:t>zakresu projektu i wnioskodawcy.</w:t>
            </w:r>
          </w:p>
          <w:p w14:paraId="0122F587" w14:textId="21246541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14:paraId="0122F588" w14:textId="77777777" w:rsidR="005648E6" w:rsidRPr="00D868E9" w:rsidRDefault="005648E6" w:rsidP="00D868E9">
            <w:pPr>
              <w:pStyle w:val="paragraph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</w:rPr>
            </w:pPr>
            <w:r w:rsidRPr="00D868E9">
              <w:rPr>
                <w:rStyle w:val="eop"/>
                <w:rFonts w:asciiTheme="minorHAnsi" w:hAnsiTheme="minorHAnsi" w:cstheme="minorHAnsi"/>
              </w:rPr>
              <w:lastRenderedPageBreak/>
              <w:t xml:space="preserve"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pod kątem zgodności z prawami i wolnościami określonymi w Karcie Praw Podstawowych, zwłaszcza zapisów z części B.7.1 Realizacja zasad horyzontalnych. </w:t>
            </w:r>
            <w:r w:rsidRPr="00D868E9">
              <w:rPr>
                <w:rStyle w:val="eop"/>
                <w:rFonts w:asciiTheme="minorHAnsi" w:hAnsiTheme="minorHAnsi" w:cstheme="minorHAnsi"/>
              </w:rPr>
              <w:lastRenderedPageBreak/>
              <w:t>Żaden aspekt projektu, jego zakres oraz sposób jego realizacji nie może naruszać zapisów Karty.</w:t>
            </w:r>
          </w:p>
          <w:p w14:paraId="0122F589" w14:textId="77777777" w:rsidR="005648E6" w:rsidRPr="00D868E9" w:rsidRDefault="005648E6" w:rsidP="00D868E9">
            <w:pPr>
              <w:pStyle w:val="paragraph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</w:rPr>
            </w:pPr>
            <w:r w:rsidRPr="00D868E9">
              <w:rPr>
                <w:rStyle w:val="eop"/>
                <w:rFonts w:asciiTheme="minorHAnsi" w:hAnsiTheme="minorHAnsi" w:cstheme="minorHAnsi"/>
              </w:rPr>
              <w:t xml:space="preserve"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</w:t>
            </w:r>
            <w:r w:rsidRPr="00D868E9">
              <w:rPr>
                <w:rStyle w:val="eop"/>
                <w:rFonts w:asciiTheme="minorHAnsi" w:hAnsiTheme="minorHAnsi" w:cstheme="minorHAnsi"/>
              </w:rPr>
              <w:lastRenderedPageBreak/>
              <w:t>skarg na wnioskodawcę w związku z prowadzeniem działań dyskryminujących oraz nie podano do publicznej wiadomości niezgodności działań wnioskodawcy z zasadami niedyskryminacji. Dotyczy to wszystkich wnioskodawców, w szczególności JST, a w przypadku gdy wnioskodawcą jest podmiot kontrolowany przez JST lub od niej zależny, wymóg dotyczy również tej JST.W przeciwnym razie wsparcie w ramach polityki spójności nie może być udzielone</w:t>
            </w:r>
          </w:p>
          <w:p w14:paraId="0122F58A" w14:textId="7C96DA92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Style w:val="eop"/>
                <w:rFonts w:cstheme="minorHAnsi"/>
                <w:sz w:val="24"/>
                <w:szCs w:val="24"/>
              </w:rPr>
              <w:t xml:space="preserve">Dla wnioskodawców i oceniających mogą być pomocne Wytyczne Komisji Europejskiej dotyczące zapewnienia poszanowania Karty praw podstawowych Unii Europejskiej przy wdrażaniu europejskich funduszy </w:t>
            </w:r>
            <w:r w:rsidRPr="00D868E9">
              <w:rPr>
                <w:rStyle w:val="eop"/>
                <w:rFonts w:cstheme="minorHAnsi"/>
                <w:sz w:val="24"/>
                <w:szCs w:val="24"/>
              </w:rPr>
              <w:lastRenderedPageBreak/>
              <w:t>strukturalnych i inwestycyjnych, w szczególności załącznik nr III. </w:t>
            </w:r>
          </w:p>
        </w:tc>
        <w:tc>
          <w:tcPr>
            <w:tcW w:w="2524" w:type="dxa"/>
          </w:tcPr>
          <w:p w14:paraId="0122F58B" w14:textId="77777777" w:rsidR="00E01378" w:rsidRPr="00D868E9" w:rsidRDefault="00E01378" w:rsidP="00D868E9">
            <w:pPr>
              <w:pStyle w:val="paragraph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D868E9">
              <w:rPr>
                <w:rStyle w:val="normaltextrun"/>
                <w:rFonts w:asciiTheme="minorHAnsi" w:hAnsiTheme="minorHAnsi" w:cstheme="minorHAnsi"/>
              </w:rPr>
              <w:lastRenderedPageBreak/>
              <w:t>Konieczne spełnienie – TAK</w:t>
            </w:r>
          </w:p>
          <w:p w14:paraId="0122F58C" w14:textId="77777777" w:rsidR="005648E6" w:rsidRPr="00D868E9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Style w:val="normaltextrun"/>
                <w:rFonts w:cstheme="minorHAnsi"/>
                <w:sz w:val="24"/>
                <w:szCs w:val="24"/>
              </w:rPr>
              <w:t>Podlega uzupełnieniom - TAK</w:t>
            </w:r>
          </w:p>
        </w:tc>
        <w:tc>
          <w:tcPr>
            <w:tcW w:w="2212" w:type="dxa"/>
          </w:tcPr>
          <w:p w14:paraId="0122F58D" w14:textId="77777777" w:rsidR="00E01378" w:rsidRPr="00D868E9" w:rsidRDefault="00E01378" w:rsidP="00D868E9">
            <w:pPr>
              <w:pStyle w:val="paragraph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D868E9">
              <w:rPr>
                <w:rStyle w:val="normaltextrun"/>
                <w:rFonts w:asciiTheme="minorHAnsi" w:hAnsiTheme="minorHAnsi" w:cstheme="minorHAnsi"/>
              </w:rPr>
              <w:t xml:space="preserve">Kryterium horyzontalne </w:t>
            </w:r>
          </w:p>
          <w:p w14:paraId="0122F58E" w14:textId="77777777" w:rsidR="005648E6" w:rsidRPr="00D868E9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Style w:val="normaltextrun"/>
                <w:rFonts w:cstheme="minorHAnsi"/>
                <w:sz w:val="24"/>
                <w:szCs w:val="24"/>
              </w:rPr>
              <w:t>0/1</w:t>
            </w:r>
          </w:p>
        </w:tc>
        <w:tc>
          <w:tcPr>
            <w:tcW w:w="1231" w:type="dxa"/>
          </w:tcPr>
          <w:p w14:paraId="0122F58F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648E6" w:rsidRPr="00D868E9" w14:paraId="0122F59A" w14:textId="77777777" w:rsidTr="0056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122F591" w14:textId="77777777" w:rsidR="005648E6" w:rsidRPr="00D868E9" w:rsidRDefault="005648E6" w:rsidP="00D868E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122F592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Style w:val="normaltextrun"/>
                <w:rFonts w:cstheme="minorHAnsi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</w:t>
            </w:r>
            <w:proofErr w:type="spellStart"/>
            <w:r w:rsidRPr="00D868E9">
              <w:rPr>
                <w:rStyle w:val="spellingerror"/>
                <w:rFonts w:cstheme="minorHAnsi"/>
                <w:sz w:val="24"/>
                <w:szCs w:val="24"/>
              </w:rPr>
              <w:t>późn</w:t>
            </w:r>
            <w:proofErr w:type="spellEnd"/>
            <w:r w:rsidRPr="00D868E9">
              <w:rPr>
                <w:rStyle w:val="normaltextrun"/>
                <w:rFonts w:cstheme="minorHAnsi"/>
                <w:sz w:val="24"/>
                <w:szCs w:val="24"/>
              </w:rPr>
              <w:t>. zm.), w zakresie odnoszącym się do sposobu realizacji, zakresu projektu i wnioskodawcy.</w:t>
            </w:r>
            <w:r w:rsidRPr="00D868E9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799" w:type="dxa"/>
          </w:tcPr>
          <w:p w14:paraId="0122F593" w14:textId="77777777" w:rsidR="005648E6" w:rsidRPr="00D868E9" w:rsidRDefault="005648E6" w:rsidP="00D868E9">
            <w:pPr>
              <w:pStyle w:val="paragraph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68E9">
              <w:rPr>
                <w:rStyle w:val="normaltextrun"/>
                <w:rFonts w:asciiTheme="minorHAnsi" w:hAnsiTheme="minorHAnsi" w:cstheme="minorHAnsi"/>
              </w:rPr>
              <w:t>Zgodność projektu z Konwencją o Prawach Osób Niepełnosprawnych, na etapie oceny wniosku należy rozumieć jako brak sprzeczności pomiędzy zapisami projektu a wymogami tego dokumentu.</w:t>
            </w:r>
            <w:r w:rsidRPr="00D868E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122F594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Style w:val="normaltextrun"/>
                <w:rFonts w:cstheme="minorHAnsi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524" w:type="dxa"/>
          </w:tcPr>
          <w:p w14:paraId="0122F595" w14:textId="77777777" w:rsidR="00E01378" w:rsidRPr="00D868E9" w:rsidRDefault="00E01378" w:rsidP="00D868E9">
            <w:pPr>
              <w:pStyle w:val="paragraph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D868E9">
              <w:rPr>
                <w:rStyle w:val="normaltextrun"/>
                <w:rFonts w:asciiTheme="minorHAnsi" w:hAnsiTheme="minorHAnsi" w:cstheme="minorHAnsi"/>
              </w:rPr>
              <w:t>Konieczne spełnienie – TAK</w:t>
            </w:r>
          </w:p>
          <w:p w14:paraId="0122F596" w14:textId="77777777" w:rsidR="005648E6" w:rsidRPr="00D868E9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Style w:val="normaltextrun"/>
                <w:rFonts w:cstheme="minorHAnsi"/>
                <w:sz w:val="24"/>
                <w:szCs w:val="24"/>
              </w:rPr>
              <w:t>Podlega uzupełnieniom - TAK</w:t>
            </w:r>
            <w:r w:rsidR="005648E6" w:rsidRPr="00D868E9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212" w:type="dxa"/>
          </w:tcPr>
          <w:p w14:paraId="0122F597" w14:textId="77777777" w:rsidR="00E01378" w:rsidRPr="00D868E9" w:rsidRDefault="00E01378" w:rsidP="00D868E9">
            <w:pPr>
              <w:pStyle w:val="paragraph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D868E9">
              <w:rPr>
                <w:rStyle w:val="normaltextrun"/>
                <w:rFonts w:asciiTheme="minorHAnsi" w:hAnsiTheme="minorHAnsi" w:cstheme="minorHAnsi"/>
              </w:rPr>
              <w:t xml:space="preserve">Kryterium horyzontalne </w:t>
            </w:r>
          </w:p>
          <w:p w14:paraId="0122F598" w14:textId="77777777" w:rsidR="005648E6" w:rsidRPr="00D868E9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Style w:val="normaltextrun"/>
                <w:rFonts w:cstheme="minorHAnsi"/>
                <w:sz w:val="24"/>
                <w:szCs w:val="24"/>
              </w:rPr>
              <w:t>0/1</w:t>
            </w:r>
            <w:r w:rsidR="005648E6" w:rsidRPr="00D868E9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31" w:type="dxa"/>
          </w:tcPr>
          <w:p w14:paraId="0122F599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648E6" w:rsidRPr="00D868E9" w14:paraId="0122F5A4" w14:textId="77777777" w:rsidTr="0056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122F59B" w14:textId="77777777" w:rsidR="005648E6" w:rsidRPr="00D868E9" w:rsidRDefault="005648E6" w:rsidP="00D868E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122F59C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Style w:val="normaltextrun"/>
                <w:rFonts w:cstheme="minorHAnsi"/>
                <w:sz w:val="24"/>
                <w:szCs w:val="24"/>
              </w:rPr>
              <w:t>Projekt jest zgodny z zasadą zrównoważonego rozwoju.</w:t>
            </w:r>
            <w:r w:rsidRPr="00D868E9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799" w:type="dxa"/>
          </w:tcPr>
          <w:p w14:paraId="0122F59D" w14:textId="77777777" w:rsidR="005648E6" w:rsidRPr="00D868E9" w:rsidRDefault="005648E6" w:rsidP="00D868E9">
            <w:pPr>
              <w:pStyle w:val="paragraph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68E9">
              <w:rPr>
                <w:rStyle w:val="normaltextrun"/>
                <w:rFonts w:asciiTheme="minorHAnsi" w:hAnsiTheme="minorHAnsi" w:cstheme="minorHAnsi"/>
              </w:rPr>
              <w:t xml:space="preserve">Zgodność projektu oznacza, że stosownie do podejmowanych w projekcie działań (zarówno 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transport, itp. Proces zarządzania projektem również będzie się odbywał w ww. sposób – z ograniczeniem zużycia papieru, zdalną formą </w:t>
            </w:r>
            <w:r w:rsidRPr="00D868E9">
              <w:rPr>
                <w:rStyle w:val="normaltextrun"/>
                <w:rFonts w:asciiTheme="minorHAnsi" w:hAnsiTheme="minorHAnsi" w:cstheme="minorHAnsi"/>
              </w:rPr>
              <w:lastRenderedPageBreak/>
              <w:t>współpracy ograniczającą ślad węglowy, stosowaniem zielonych klauzul w zamówieniach, korzystaniem z energooszczędnych rozwiązań, promocją działań i postaw proekologicznych itp. Efekty i produkty projektów nie będą wpływać negatywnie na środowisko naturalne.</w:t>
            </w:r>
            <w:r w:rsidRPr="00D868E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122F59E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Style w:val="normaltextrun"/>
                <w:rFonts w:cstheme="minorHAnsi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524" w:type="dxa"/>
          </w:tcPr>
          <w:p w14:paraId="0122F59F" w14:textId="77777777" w:rsidR="00E01378" w:rsidRPr="00D868E9" w:rsidRDefault="00E01378" w:rsidP="00D868E9">
            <w:pPr>
              <w:pStyle w:val="paragraph"/>
              <w:spacing w:after="0"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D868E9">
              <w:rPr>
                <w:rStyle w:val="normaltextrun"/>
                <w:rFonts w:asciiTheme="minorHAnsi" w:hAnsiTheme="minorHAnsi" w:cstheme="minorHAnsi"/>
              </w:rPr>
              <w:lastRenderedPageBreak/>
              <w:t>Konieczne spełnienie – TAK</w:t>
            </w:r>
          </w:p>
          <w:p w14:paraId="0122F5A0" w14:textId="77777777" w:rsidR="005648E6" w:rsidRPr="00D868E9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Style w:val="normaltextrun"/>
                <w:rFonts w:cstheme="minorHAnsi"/>
                <w:sz w:val="24"/>
                <w:szCs w:val="24"/>
              </w:rPr>
              <w:t>Podlega uzupełnieniom - TAK</w:t>
            </w:r>
          </w:p>
        </w:tc>
        <w:tc>
          <w:tcPr>
            <w:tcW w:w="2212" w:type="dxa"/>
          </w:tcPr>
          <w:p w14:paraId="0122F5A1" w14:textId="77777777" w:rsidR="00E01378" w:rsidRPr="00D868E9" w:rsidRDefault="00E01378" w:rsidP="00D868E9">
            <w:pPr>
              <w:pStyle w:val="paragraph"/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D868E9">
              <w:rPr>
                <w:rStyle w:val="normaltextrun"/>
                <w:rFonts w:asciiTheme="minorHAnsi" w:hAnsiTheme="minorHAnsi" w:cstheme="minorHAnsi"/>
              </w:rPr>
              <w:t xml:space="preserve">Kryterium horyzontalne </w:t>
            </w:r>
          </w:p>
          <w:p w14:paraId="0122F5A2" w14:textId="77777777" w:rsidR="005648E6" w:rsidRPr="00D868E9" w:rsidRDefault="00E01378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Style w:val="normaltextrun"/>
                <w:rFonts w:cstheme="minorHAnsi"/>
                <w:sz w:val="24"/>
                <w:szCs w:val="24"/>
              </w:rPr>
              <w:t>0/1</w:t>
            </w:r>
          </w:p>
        </w:tc>
        <w:tc>
          <w:tcPr>
            <w:tcW w:w="1231" w:type="dxa"/>
          </w:tcPr>
          <w:p w14:paraId="0122F5A3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648E6" w:rsidRPr="00D868E9" w14:paraId="0122F5AF" w14:textId="77777777" w:rsidTr="0056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122F5A5" w14:textId="77777777" w:rsidR="005648E6" w:rsidRPr="00D868E9" w:rsidRDefault="005648E6" w:rsidP="00D868E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122F5A6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 xml:space="preserve">Projekt jest zgodny z przepisami dotyczącymi pomocy de </w:t>
            </w:r>
            <w:proofErr w:type="spellStart"/>
            <w:r w:rsidRPr="00D868E9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D868E9">
              <w:rPr>
                <w:rFonts w:cstheme="minorHAnsi"/>
                <w:sz w:val="24"/>
                <w:szCs w:val="24"/>
              </w:rPr>
              <w:t xml:space="preserve"> oraz pomocy publicznej.</w:t>
            </w:r>
          </w:p>
        </w:tc>
        <w:tc>
          <w:tcPr>
            <w:tcW w:w="5799" w:type="dxa"/>
          </w:tcPr>
          <w:p w14:paraId="0122F5A7" w14:textId="77777777" w:rsidR="00E372B3" w:rsidRPr="00D868E9" w:rsidRDefault="00E372B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 xml:space="preserve">Weryfikowane będzie czy: </w:t>
            </w:r>
          </w:p>
          <w:p w14:paraId="0122F5A8" w14:textId="77777777" w:rsidR="00E372B3" w:rsidRPr="00D868E9" w:rsidRDefault="00E372B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 xml:space="preserve">-we wniosku nie ma zapisów, z których wynika niezgodność z Rozporządzeniem Ministra Funduszy i Polityki Regionalnej z dnia 29 września 2022 r. w </w:t>
            </w:r>
            <w:r w:rsidRPr="00D868E9">
              <w:rPr>
                <w:rFonts w:cstheme="minorHAnsi"/>
                <w:sz w:val="24"/>
                <w:szCs w:val="24"/>
              </w:rPr>
              <w:lastRenderedPageBreak/>
              <w:t xml:space="preserve">sprawie udzielania pomocy de </w:t>
            </w:r>
            <w:proofErr w:type="spellStart"/>
            <w:r w:rsidRPr="00D868E9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D868E9">
              <w:rPr>
                <w:rFonts w:cstheme="minorHAnsi"/>
                <w:sz w:val="24"/>
                <w:szCs w:val="24"/>
              </w:rPr>
              <w:t xml:space="preserve"> w ramach regionalnych programów na lata 2021–2027</w:t>
            </w:r>
          </w:p>
          <w:p w14:paraId="0122F5A9" w14:textId="77777777" w:rsidR="005648E6" w:rsidRPr="00D868E9" w:rsidRDefault="00E372B3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 xml:space="preserve">- zastosowano się do wskazówek i interpretacji dotyczących pomocy de </w:t>
            </w:r>
            <w:proofErr w:type="spellStart"/>
            <w:r w:rsidRPr="00D868E9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D868E9">
              <w:rPr>
                <w:rFonts w:cstheme="minorHAnsi"/>
                <w:sz w:val="24"/>
                <w:szCs w:val="24"/>
              </w:rPr>
              <w:t xml:space="preserve"> i pomocy publicznej opisanych w Regulaminie wyboru projektów (jeśli dotyczy).</w:t>
            </w:r>
          </w:p>
        </w:tc>
        <w:tc>
          <w:tcPr>
            <w:tcW w:w="2524" w:type="dxa"/>
          </w:tcPr>
          <w:p w14:paraId="0122F5AA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lastRenderedPageBreak/>
              <w:t>Konieczne spełnienie – TAK (jeśli dotyczy)</w:t>
            </w:r>
          </w:p>
          <w:p w14:paraId="0122F5AB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lastRenderedPageBreak/>
              <w:t>Podlega uzupełnieniom - TAK</w:t>
            </w:r>
          </w:p>
        </w:tc>
        <w:tc>
          <w:tcPr>
            <w:tcW w:w="2212" w:type="dxa"/>
          </w:tcPr>
          <w:p w14:paraId="0122F5AC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lastRenderedPageBreak/>
              <w:t xml:space="preserve">Kryterium horyzontalne </w:t>
            </w:r>
          </w:p>
          <w:p w14:paraId="0122F5AD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0/1</w:t>
            </w:r>
          </w:p>
        </w:tc>
        <w:tc>
          <w:tcPr>
            <w:tcW w:w="1231" w:type="dxa"/>
          </w:tcPr>
          <w:p w14:paraId="0122F5AE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1799F73D" w14:textId="77777777" w:rsidR="00F00A33" w:rsidRPr="00F00A33" w:rsidRDefault="00F00A33" w:rsidP="00F00A33">
      <w:pPr>
        <w:rPr>
          <w:rFonts w:asciiTheme="minorHAnsi" w:hAnsiTheme="minorHAnsi" w:cstheme="minorHAnsi"/>
        </w:rPr>
      </w:pPr>
    </w:p>
    <w:p w14:paraId="0122F5B7" w14:textId="77777777" w:rsidR="00C94162" w:rsidRPr="00D868E9" w:rsidRDefault="00C94162" w:rsidP="00D868E9">
      <w:pPr>
        <w:pStyle w:val="Nagwek2"/>
        <w:rPr>
          <w:b/>
          <w:color w:val="auto"/>
        </w:rPr>
      </w:pPr>
      <w:r w:rsidRPr="00D868E9">
        <w:rPr>
          <w:b/>
          <w:color w:val="auto"/>
        </w:rPr>
        <w:t>Kryterium</w:t>
      </w:r>
      <w:r w:rsidR="005648E6" w:rsidRPr="00D868E9">
        <w:rPr>
          <w:b/>
          <w:color w:val="auto"/>
        </w:rPr>
        <w:t xml:space="preserve"> ogólne</w:t>
      </w:r>
      <w:r w:rsidRPr="00D868E9">
        <w:rPr>
          <w:b/>
          <w:color w:val="auto"/>
        </w:rPr>
        <w:t xml:space="preserve"> negocjacyjne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ryterium negocjacyjne"/>
        <w:tblDescription w:val="W tabeli przedstawiono kryterium negocjacyjne wdrażane przez Departament Europejskiego Funduszu Społecznego w ramach EFS+"/>
      </w:tblPr>
      <w:tblGrid>
        <w:gridCol w:w="702"/>
        <w:gridCol w:w="2684"/>
        <w:gridCol w:w="5895"/>
        <w:gridCol w:w="2544"/>
        <w:gridCol w:w="1978"/>
        <w:gridCol w:w="1323"/>
      </w:tblGrid>
      <w:tr w:rsidR="00C94162" w:rsidRPr="00D868E9" w14:paraId="0122F5BE" w14:textId="77777777" w:rsidTr="00C21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  <w:vAlign w:val="center"/>
          </w:tcPr>
          <w:p w14:paraId="0122F5B8" w14:textId="77777777" w:rsidR="00C94162" w:rsidRPr="00D868E9" w:rsidRDefault="00C94162" w:rsidP="00D868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122F5B9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0122F5BA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Definicja kryterium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122F5BB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Czy spełnienie kryterium jest konieczne do przyznania dofinansowania?*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22F5BC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Sposób oceny kryterium*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122F5BD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Szczególne znaczenie kryterium*</w:t>
            </w:r>
          </w:p>
        </w:tc>
      </w:tr>
      <w:tr w:rsidR="005648E6" w:rsidRPr="00D868E9" w14:paraId="0122F5C8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5BF" w14:textId="77777777" w:rsidR="005648E6" w:rsidRPr="00D868E9" w:rsidRDefault="005648E6" w:rsidP="00D868E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22F5C0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Projekt spełnia warunki postawione przez oceniających, przewodniczącego KOP lub wynikające z ustaleń podjętych w toku negocjacji.</w:t>
            </w:r>
          </w:p>
        </w:tc>
        <w:tc>
          <w:tcPr>
            <w:tcW w:w="5954" w:type="dxa"/>
          </w:tcPr>
          <w:p w14:paraId="0122F5C1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Weryfikowane będzie czy:</w:t>
            </w:r>
          </w:p>
          <w:p w14:paraId="0122F5C2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1. Wniosek o dofinansowanie projektu zawiera uzupełnienia lub poprawki wynikające z warunków negocjacyjnych;</w:t>
            </w:r>
          </w:p>
          <w:p w14:paraId="0122F5C3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2. Wnioskodawca przedstawił wymagane informacje i wyjaśnienia wynikające z warunków negocjacyjnych i zostały one zaakceptowane przez KOP;</w:t>
            </w:r>
          </w:p>
          <w:p w14:paraId="0122F5C4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3. Wnioskodawca nie wprowadził we wniosku zmian innych niż wynikające z warunków negocjacyjnych.</w:t>
            </w:r>
          </w:p>
        </w:tc>
        <w:tc>
          <w:tcPr>
            <w:tcW w:w="2551" w:type="dxa"/>
          </w:tcPr>
          <w:p w14:paraId="0122F5C5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Konieczne spełnienie – TAK (dotyczy projektów, które zostały skierowane do negocjacji)</w:t>
            </w:r>
          </w:p>
        </w:tc>
        <w:tc>
          <w:tcPr>
            <w:tcW w:w="1985" w:type="dxa"/>
          </w:tcPr>
          <w:p w14:paraId="0122F5C6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Kryterium negocjacyjne 0/1</w:t>
            </w:r>
          </w:p>
        </w:tc>
        <w:tc>
          <w:tcPr>
            <w:tcW w:w="1239" w:type="dxa"/>
          </w:tcPr>
          <w:p w14:paraId="0122F5C7" w14:textId="77777777" w:rsidR="005648E6" w:rsidRPr="00D868E9" w:rsidRDefault="005648E6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0122F5C9" w14:textId="77777777" w:rsidR="00C94162" w:rsidRPr="00D868E9" w:rsidRDefault="00C94162" w:rsidP="00D868E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122F5CA" w14:textId="77777777" w:rsidR="00C94162" w:rsidRPr="00D868E9" w:rsidRDefault="00C94162" w:rsidP="00D868E9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868E9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Kryteria </w:t>
      </w:r>
      <w:r w:rsidR="005648E6" w:rsidRPr="00D868E9">
        <w:rPr>
          <w:rFonts w:asciiTheme="minorHAnsi" w:hAnsiTheme="minorHAnsi" w:cstheme="minorHAnsi"/>
          <w:b/>
          <w:color w:val="auto"/>
          <w:sz w:val="24"/>
          <w:szCs w:val="24"/>
        </w:rPr>
        <w:t xml:space="preserve">szczegółowe </w:t>
      </w:r>
      <w:r w:rsidRPr="00D868E9">
        <w:rPr>
          <w:rFonts w:asciiTheme="minorHAnsi" w:hAnsiTheme="minorHAnsi" w:cstheme="minorHAnsi"/>
          <w:b/>
          <w:color w:val="auto"/>
          <w:sz w:val="24"/>
          <w:szCs w:val="24"/>
        </w:rPr>
        <w:t>dostępu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ryterium negocjacyjne"/>
        <w:tblDescription w:val="W tabeli przedstawiono kryterium negocjacyjne wdrażane przez Departament Europejskiego Funduszu Społecznego w ramach EFS+"/>
      </w:tblPr>
      <w:tblGrid>
        <w:gridCol w:w="702"/>
        <w:gridCol w:w="2677"/>
        <w:gridCol w:w="5907"/>
        <w:gridCol w:w="2543"/>
        <w:gridCol w:w="1974"/>
        <w:gridCol w:w="1323"/>
      </w:tblGrid>
      <w:tr w:rsidR="00C94162" w:rsidRPr="00D868E9" w14:paraId="0122F5D1" w14:textId="77777777" w:rsidTr="00D6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  <w:vAlign w:val="center"/>
          </w:tcPr>
          <w:p w14:paraId="0122F5CB" w14:textId="77777777" w:rsidR="00C94162" w:rsidRPr="00D868E9" w:rsidRDefault="00C94162" w:rsidP="00D868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122F5CC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0122F5CD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Definicja kryterium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122F5CE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Czy spełnienie kryterium jest konieczne do przyznania dofinansowania?*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22F5CF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Sposób oceny kryterium*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122F5D0" w14:textId="77777777" w:rsidR="00C94162" w:rsidRPr="00D868E9" w:rsidRDefault="00C94162" w:rsidP="00D868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Szczególne znaczenie kryterium*</w:t>
            </w:r>
          </w:p>
        </w:tc>
      </w:tr>
      <w:tr w:rsidR="00C94162" w:rsidRPr="00D868E9" w14:paraId="0122F5D9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5D2" w14:textId="77777777" w:rsidR="00C94162" w:rsidRPr="00D868E9" w:rsidRDefault="00C94162" w:rsidP="00D868E9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22F5D3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Wnioskodawcą jest Związek ZIT realizujący działania na obszarze realizacji ZIT.</w:t>
            </w:r>
          </w:p>
        </w:tc>
        <w:tc>
          <w:tcPr>
            <w:tcW w:w="5954" w:type="dxa"/>
          </w:tcPr>
          <w:p w14:paraId="0122F5D4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Weryfikowane będzie czy Wnioskodawcą jest Związek ZIT powołany w ramach zinstytucjonalizowanej formy partnerstwa, realizujący działania na obszarze realizacji ZIT, odpowiadające na potrzeby społeczności lokalnych oraz wykorzystujące potencjały danych terytoriów.</w:t>
            </w:r>
          </w:p>
          <w:p w14:paraId="0122F5D5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Kryterium weryfikowane na podstawie pkt A.1 oraz pozostałych zapisów wniosku o dofinansowanie.</w:t>
            </w:r>
          </w:p>
        </w:tc>
        <w:tc>
          <w:tcPr>
            <w:tcW w:w="2551" w:type="dxa"/>
          </w:tcPr>
          <w:p w14:paraId="0122F5D6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Konieczne spełnienie – TAK Podlega uzupełnieniom - NIE</w:t>
            </w:r>
          </w:p>
        </w:tc>
        <w:tc>
          <w:tcPr>
            <w:tcW w:w="1985" w:type="dxa"/>
          </w:tcPr>
          <w:p w14:paraId="0122F5D7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Kryterium dostępu 0/1</w:t>
            </w:r>
          </w:p>
        </w:tc>
        <w:tc>
          <w:tcPr>
            <w:tcW w:w="1239" w:type="dxa"/>
          </w:tcPr>
          <w:p w14:paraId="0122F5D8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C94162" w:rsidRPr="00D868E9" w14:paraId="0122F5E5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5DA" w14:textId="77777777" w:rsidR="00C94162" w:rsidRPr="00D868E9" w:rsidRDefault="00C94162" w:rsidP="00D868E9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22F5DB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Projekt jest realizowany na obszarze jednego z subregionów województwa śląskiego.</w:t>
            </w:r>
          </w:p>
        </w:tc>
        <w:tc>
          <w:tcPr>
            <w:tcW w:w="5954" w:type="dxa"/>
          </w:tcPr>
          <w:p w14:paraId="0122F5DC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W ramach kryterium oceniane będzie czy projekt jest realizowany na obszarze jednego z su</w:t>
            </w:r>
            <w:r w:rsidR="006003A3" w:rsidRPr="00D868E9">
              <w:rPr>
                <w:rFonts w:cstheme="minorHAnsi"/>
                <w:sz w:val="24"/>
                <w:szCs w:val="24"/>
              </w:rPr>
              <w:t>bregionów województwa śląskiego</w:t>
            </w:r>
            <w:r w:rsidRPr="00D868E9">
              <w:rPr>
                <w:rFonts w:cstheme="minorHAnsi"/>
                <w:sz w:val="24"/>
                <w:szCs w:val="24"/>
              </w:rPr>
              <w:t xml:space="preserve">, co oznacza, że: </w:t>
            </w:r>
          </w:p>
          <w:p w14:paraId="0122F5DD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 xml:space="preserve">1. Podmioty będące realizatorami projektu posiadają jednostkę organizacyjną na obszarze jednego z miejskich obszarów funkcjonalnych/subregionów wskazanych w </w:t>
            </w:r>
            <w:r w:rsidRPr="00D868E9">
              <w:rPr>
                <w:rFonts w:cstheme="minorHAnsi"/>
                <w:sz w:val="24"/>
                <w:szCs w:val="24"/>
              </w:rPr>
              <w:lastRenderedPageBreak/>
              <w:t>strategii rozwoju województwa, zgodnie z zapisami art. 34 ust. 2 Ustawy z dnia 28 kwietnia 2022 roku o zasadach realizacji zadań finansowanych ze środków europejskich w perspektywie finansowej 2021-2027.</w:t>
            </w:r>
          </w:p>
          <w:p w14:paraId="0122F5DE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Posiadanie jednostki organizacyjnej na obszarze jednego z miejskich obszarów funkcjonalnych/subregionów wskazanych w strategii rozwoju województwa należy rozumieć jako posiadanie siedziby, filii, delegatury, oddziału czy innej prawnie dozwolonej formy organizacyjnej działalności podmiotu na tym terenie.</w:t>
            </w:r>
          </w:p>
          <w:p w14:paraId="0122F5DF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2. Działania realizowane w projekcie odnoszą się do wzmacniania potencjału rozwojowego subregionów/miejskich obszarów funkcjonalnych.</w:t>
            </w:r>
          </w:p>
          <w:p w14:paraId="0122F5E0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lastRenderedPageBreak/>
              <w:t>Kryterium będzie weryfikowane na podstawie punktu B.7.2. oraz pozostałych zapisów wniosku o dofinansowanie.</w:t>
            </w:r>
          </w:p>
        </w:tc>
        <w:tc>
          <w:tcPr>
            <w:tcW w:w="2551" w:type="dxa"/>
          </w:tcPr>
          <w:p w14:paraId="0122F5E1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lastRenderedPageBreak/>
              <w:t>Konieczne spełnienie - TAK</w:t>
            </w:r>
          </w:p>
          <w:p w14:paraId="0122F5E2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Podlega uzupełnieniom - TAK</w:t>
            </w:r>
          </w:p>
        </w:tc>
        <w:tc>
          <w:tcPr>
            <w:tcW w:w="1985" w:type="dxa"/>
          </w:tcPr>
          <w:p w14:paraId="0122F5E3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Kryterium dostępu 0/1</w:t>
            </w:r>
          </w:p>
        </w:tc>
        <w:tc>
          <w:tcPr>
            <w:tcW w:w="1239" w:type="dxa"/>
          </w:tcPr>
          <w:p w14:paraId="0122F5E4" w14:textId="77777777" w:rsidR="00C94162" w:rsidRPr="00D868E9" w:rsidRDefault="00C94162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F17A0E" w:rsidRPr="00D868E9" w14:paraId="54EBD744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A06515" w14:textId="77777777" w:rsidR="00F17A0E" w:rsidRPr="00D868E9" w:rsidRDefault="00F17A0E" w:rsidP="00D868E9">
            <w:pPr>
              <w:pStyle w:val="Akapitzlist"/>
              <w:numPr>
                <w:ilvl w:val="0"/>
                <w:numId w:val="39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52A920" w14:textId="47F11BF8" w:rsidR="00F17A0E" w:rsidRPr="00D868E9" w:rsidRDefault="00F17A0E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Projekt wynika z obowiązującej Strategii ZIT</w:t>
            </w:r>
            <w:r w:rsidR="00FF7E40" w:rsidRPr="00D868E9">
              <w:rPr>
                <w:rFonts w:cstheme="minorHAnsi"/>
                <w:sz w:val="24"/>
                <w:szCs w:val="24"/>
              </w:rPr>
              <w:t>/Strategii ponadlokalnej pełniącej funkcję strategii ZIT</w:t>
            </w:r>
            <w:r w:rsidRPr="00D868E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D2F09F1" w14:textId="633AD2A5" w:rsidR="00F17A0E" w:rsidRPr="00D868E9" w:rsidRDefault="00F17A0E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W ramach kryterium weryfikacji podlega, czy projekt wynika z obowiązującej Strategii ZIT</w:t>
            </w:r>
            <w:r w:rsidR="00FF7E40" w:rsidRPr="00D868E9">
              <w:rPr>
                <w:rFonts w:cstheme="minorHAnsi"/>
                <w:sz w:val="24"/>
                <w:szCs w:val="24"/>
              </w:rPr>
              <w:t>/Strategii ponadlokalnej pełniącej funkcję strategii ZIT</w:t>
            </w:r>
            <w:r w:rsidRPr="00D868E9">
              <w:rPr>
                <w:rFonts w:cstheme="minorHAnsi"/>
                <w:sz w:val="24"/>
                <w:szCs w:val="24"/>
              </w:rPr>
              <w:t>, pozytywnie zaopiniowanej przez Instytucję Zarządzającą (IZ), zgodnie z art. 34 ust. 6 pkt. 2 ustawy o zasadach realizacji zadań finansowanych ze środków europejskich w perspektywie finansowej 2021–2027.</w:t>
            </w:r>
          </w:p>
        </w:tc>
        <w:tc>
          <w:tcPr>
            <w:tcW w:w="2551" w:type="dxa"/>
          </w:tcPr>
          <w:p w14:paraId="5A33EBBF" w14:textId="77777777" w:rsidR="00F17A0E" w:rsidRPr="00D868E9" w:rsidRDefault="00F17A0E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Konieczne spełnienie - TAK</w:t>
            </w:r>
          </w:p>
          <w:p w14:paraId="609D29CE" w14:textId="14E7EB30" w:rsidR="00F17A0E" w:rsidRPr="00D868E9" w:rsidRDefault="00F17A0E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Podlega uzupełnieniom - TAK</w:t>
            </w:r>
          </w:p>
        </w:tc>
        <w:tc>
          <w:tcPr>
            <w:tcW w:w="1985" w:type="dxa"/>
          </w:tcPr>
          <w:p w14:paraId="0859BA14" w14:textId="1828FF42" w:rsidR="00F17A0E" w:rsidRPr="00D868E9" w:rsidRDefault="00F17A0E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Kryterium dostępu 0/1</w:t>
            </w:r>
          </w:p>
        </w:tc>
        <w:tc>
          <w:tcPr>
            <w:tcW w:w="1239" w:type="dxa"/>
          </w:tcPr>
          <w:p w14:paraId="75443681" w14:textId="32C10042" w:rsidR="00F17A0E" w:rsidRPr="00D868E9" w:rsidRDefault="00F17A0E" w:rsidP="00D868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68E9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0122F5E6" w14:textId="77777777" w:rsidR="00D65C47" w:rsidRPr="00C94162" w:rsidRDefault="00D65C47" w:rsidP="00CA3A97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D65C47" w:rsidRPr="00C94162" w:rsidSect="00C26EA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74FF" w14:textId="77777777" w:rsidR="00CB68B1" w:rsidRDefault="00CB68B1" w:rsidP="009029B5">
      <w:pPr>
        <w:spacing w:after="0" w:line="240" w:lineRule="auto"/>
      </w:pPr>
      <w:r>
        <w:separator/>
      </w:r>
    </w:p>
  </w:endnote>
  <w:endnote w:type="continuationSeparator" w:id="0">
    <w:p w14:paraId="1C8A1B05" w14:textId="77777777" w:rsidR="00CB68B1" w:rsidRDefault="00CB68B1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F5EB" w14:textId="77777777" w:rsidR="00C50DEE" w:rsidRDefault="004E78D3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875A33">
      <w:rPr>
        <w:noProof/>
      </w:rPr>
      <w:t>3</w:t>
    </w:r>
    <w:r>
      <w:fldChar w:fldCharType="end"/>
    </w:r>
  </w:p>
  <w:p w14:paraId="0122F5EC" w14:textId="34ECD3D0" w:rsidR="009E1472" w:rsidRDefault="003A32E4" w:rsidP="003A32E4">
    <w:pPr>
      <w:pStyle w:val="Stopka"/>
      <w:jc w:val="center"/>
    </w:pPr>
    <w:r>
      <w:rPr>
        <w:noProof/>
      </w:rPr>
      <w:drawing>
        <wp:inline distT="0" distB="0" distL="0" distR="0" wp14:anchorId="7C868F53" wp14:editId="51356F44">
          <wp:extent cx="5755005" cy="420370"/>
          <wp:effectExtent l="0" t="0" r="0" b="0"/>
          <wp:docPr id="1" name="Obraz 1" descr="Na zdjęciu znajdują się cztery logotypy z opisem. Logo z opisem Fundusze Europejskie dla Śląskiego. Flaga Polski z opisem Rzeczpospolita Polska. Flaga Unii Europejskiej z opisem 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 zdjęciu znajdują się cztery logotypy z opisem. Logo z opisem Fundusze Europejskie dla Śląskiego. Flaga Polski z opisem Rzeczpospolita Polska. Flaga Unii Europejskiej z opisem 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F5EE" w14:textId="77777777" w:rsidR="005A1ED6" w:rsidRDefault="005A1E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5A33">
      <w:rPr>
        <w:noProof/>
      </w:rPr>
      <w:t>1</w:t>
    </w:r>
    <w:r>
      <w:fldChar w:fldCharType="end"/>
    </w:r>
  </w:p>
  <w:p w14:paraId="0122F5EF" w14:textId="77777777" w:rsidR="009E1472" w:rsidRDefault="009E1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777C3" w14:textId="77777777" w:rsidR="00CB68B1" w:rsidRDefault="00CB68B1" w:rsidP="009029B5">
      <w:pPr>
        <w:spacing w:after="0" w:line="240" w:lineRule="auto"/>
      </w:pPr>
      <w:r>
        <w:separator/>
      </w:r>
    </w:p>
  </w:footnote>
  <w:footnote w:type="continuationSeparator" w:id="0">
    <w:p w14:paraId="7574C4FE" w14:textId="77777777" w:rsidR="00CB68B1" w:rsidRDefault="00CB68B1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F5ED" w14:textId="77777777" w:rsidR="009E43C9" w:rsidRDefault="009E43C9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D698D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45AE5"/>
    <w:multiLevelType w:val="hybridMultilevel"/>
    <w:tmpl w:val="6862C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4557"/>
    <w:multiLevelType w:val="hybridMultilevel"/>
    <w:tmpl w:val="851E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E0EA5"/>
    <w:multiLevelType w:val="hybridMultilevel"/>
    <w:tmpl w:val="2BC4504A"/>
    <w:lvl w:ilvl="0" w:tplc="8528D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06821"/>
    <w:multiLevelType w:val="hybridMultilevel"/>
    <w:tmpl w:val="6862C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D6115"/>
    <w:multiLevelType w:val="hybridMultilevel"/>
    <w:tmpl w:val="CDACC0F4"/>
    <w:lvl w:ilvl="0" w:tplc="0AFEF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84B69"/>
    <w:multiLevelType w:val="hybridMultilevel"/>
    <w:tmpl w:val="AF68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5"/>
  </w:num>
  <w:num w:numId="5">
    <w:abstractNumId w:val="7"/>
  </w:num>
  <w:num w:numId="6">
    <w:abstractNumId w:val="9"/>
  </w:num>
  <w:num w:numId="7">
    <w:abstractNumId w:val="20"/>
  </w:num>
  <w:num w:numId="8">
    <w:abstractNumId w:val="26"/>
  </w:num>
  <w:num w:numId="9">
    <w:abstractNumId w:val="11"/>
  </w:num>
  <w:num w:numId="10">
    <w:abstractNumId w:val="2"/>
  </w:num>
  <w:num w:numId="11">
    <w:abstractNumId w:val="3"/>
  </w:num>
  <w:num w:numId="12">
    <w:abstractNumId w:val="22"/>
  </w:num>
  <w:num w:numId="13">
    <w:abstractNumId w:val="2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9"/>
  </w:num>
  <w:num w:numId="22">
    <w:abstractNumId w:val="8"/>
  </w:num>
  <w:num w:numId="23">
    <w:abstractNumId w:val="10"/>
  </w:num>
  <w:num w:numId="24">
    <w:abstractNumId w:val="8"/>
  </w:num>
  <w:num w:numId="25">
    <w:abstractNumId w:val="19"/>
  </w:num>
  <w:num w:numId="26">
    <w:abstractNumId w:val="24"/>
  </w:num>
  <w:num w:numId="27">
    <w:abstractNumId w:val="21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  <w:num w:numId="33">
    <w:abstractNumId w:val="28"/>
  </w:num>
  <w:num w:numId="34">
    <w:abstractNumId w:val="30"/>
  </w:num>
  <w:num w:numId="35">
    <w:abstractNumId w:val="31"/>
  </w:num>
  <w:num w:numId="36">
    <w:abstractNumId w:val="27"/>
  </w:num>
  <w:num w:numId="37">
    <w:abstractNumId w:val="18"/>
  </w:num>
  <w:num w:numId="38">
    <w:abstractNumId w:val="29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CF"/>
    <w:rsid w:val="00052FEB"/>
    <w:rsid w:val="00054F52"/>
    <w:rsid w:val="000975C4"/>
    <w:rsid w:val="00097CD1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50BF7"/>
    <w:rsid w:val="001636F5"/>
    <w:rsid w:val="001733F6"/>
    <w:rsid w:val="00174B15"/>
    <w:rsid w:val="00177EBF"/>
    <w:rsid w:val="00191FA3"/>
    <w:rsid w:val="00196B8B"/>
    <w:rsid w:val="00197F09"/>
    <w:rsid w:val="001A3C70"/>
    <w:rsid w:val="001C6C71"/>
    <w:rsid w:val="001E0F7A"/>
    <w:rsid w:val="001E16F4"/>
    <w:rsid w:val="001F5F7A"/>
    <w:rsid w:val="00203C43"/>
    <w:rsid w:val="002043FF"/>
    <w:rsid w:val="00217B2A"/>
    <w:rsid w:val="00226C7C"/>
    <w:rsid w:val="0023555D"/>
    <w:rsid w:val="00240C4C"/>
    <w:rsid w:val="002426B9"/>
    <w:rsid w:val="00251BCB"/>
    <w:rsid w:val="00264C43"/>
    <w:rsid w:val="00287BEC"/>
    <w:rsid w:val="0029122B"/>
    <w:rsid w:val="002943FA"/>
    <w:rsid w:val="002A3FA9"/>
    <w:rsid w:val="002A7274"/>
    <w:rsid w:val="002B0AE7"/>
    <w:rsid w:val="002B7351"/>
    <w:rsid w:val="002E471B"/>
    <w:rsid w:val="002E540D"/>
    <w:rsid w:val="002F08C6"/>
    <w:rsid w:val="002F453A"/>
    <w:rsid w:val="002F749F"/>
    <w:rsid w:val="00304028"/>
    <w:rsid w:val="0030695E"/>
    <w:rsid w:val="00306CD4"/>
    <w:rsid w:val="00307022"/>
    <w:rsid w:val="0031245C"/>
    <w:rsid w:val="00314C8C"/>
    <w:rsid w:val="00323331"/>
    <w:rsid w:val="00337C98"/>
    <w:rsid w:val="00353112"/>
    <w:rsid w:val="003629B2"/>
    <w:rsid w:val="00367A56"/>
    <w:rsid w:val="00370AD8"/>
    <w:rsid w:val="0037477A"/>
    <w:rsid w:val="00376A35"/>
    <w:rsid w:val="00381A46"/>
    <w:rsid w:val="00386B96"/>
    <w:rsid w:val="003902F3"/>
    <w:rsid w:val="003A32E4"/>
    <w:rsid w:val="003A484B"/>
    <w:rsid w:val="003C0F43"/>
    <w:rsid w:val="003D5004"/>
    <w:rsid w:val="00413384"/>
    <w:rsid w:val="004201FA"/>
    <w:rsid w:val="00437684"/>
    <w:rsid w:val="004420BC"/>
    <w:rsid w:val="00445108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0575"/>
    <w:rsid w:val="004A7DDE"/>
    <w:rsid w:val="004B3080"/>
    <w:rsid w:val="004C3D74"/>
    <w:rsid w:val="004E78D3"/>
    <w:rsid w:val="00522101"/>
    <w:rsid w:val="005225E4"/>
    <w:rsid w:val="00530452"/>
    <w:rsid w:val="00533263"/>
    <w:rsid w:val="00533D91"/>
    <w:rsid w:val="00541040"/>
    <w:rsid w:val="005465A2"/>
    <w:rsid w:val="00547E53"/>
    <w:rsid w:val="005570A7"/>
    <w:rsid w:val="00557EDC"/>
    <w:rsid w:val="005648E6"/>
    <w:rsid w:val="00583A7F"/>
    <w:rsid w:val="005A1ED6"/>
    <w:rsid w:val="005B6314"/>
    <w:rsid w:val="005C0BFF"/>
    <w:rsid w:val="005C5EA9"/>
    <w:rsid w:val="005C77F0"/>
    <w:rsid w:val="005E49FF"/>
    <w:rsid w:val="006003A3"/>
    <w:rsid w:val="0062463D"/>
    <w:rsid w:val="0064359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5F71"/>
    <w:rsid w:val="00706CB6"/>
    <w:rsid w:val="007160F2"/>
    <w:rsid w:val="0075478F"/>
    <w:rsid w:val="00755761"/>
    <w:rsid w:val="0076572D"/>
    <w:rsid w:val="0077026E"/>
    <w:rsid w:val="007707E2"/>
    <w:rsid w:val="00771352"/>
    <w:rsid w:val="0077655B"/>
    <w:rsid w:val="0077668D"/>
    <w:rsid w:val="0077767B"/>
    <w:rsid w:val="0078339D"/>
    <w:rsid w:val="00793EBA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21B8"/>
    <w:rsid w:val="008667D5"/>
    <w:rsid w:val="00870F0E"/>
    <w:rsid w:val="00875A33"/>
    <w:rsid w:val="00880842"/>
    <w:rsid w:val="0088104F"/>
    <w:rsid w:val="008838CC"/>
    <w:rsid w:val="00884232"/>
    <w:rsid w:val="008904C2"/>
    <w:rsid w:val="008A0202"/>
    <w:rsid w:val="008B2669"/>
    <w:rsid w:val="008C3234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A5824"/>
    <w:rsid w:val="009A7B5C"/>
    <w:rsid w:val="009B3AA9"/>
    <w:rsid w:val="009B3AB9"/>
    <w:rsid w:val="009B406B"/>
    <w:rsid w:val="009E1472"/>
    <w:rsid w:val="009E43C9"/>
    <w:rsid w:val="009F1A30"/>
    <w:rsid w:val="009F60B0"/>
    <w:rsid w:val="00A07E3A"/>
    <w:rsid w:val="00A106C0"/>
    <w:rsid w:val="00A22E9B"/>
    <w:rsid w:val="00A243AE"/>
    <w:rsid w:val="00A27313"/>
    <w:rsid w:val="00A54113"/>
    <w:rsid w:val="00A6025E"/>
    <w:rsid w:val="00A7368F"/>
    <w:rsid w:val="00A82C7E"/>
    <w:rsid w:val="00A84060"/>
    <w:rsid w:val="00A85155"/>
    <w:rsid w:val="00A86749"/>
    <w:rsid w:val="00A9307C"/>
    <w:rsid w:val="00A9395D"/>
    <w:rsid w:val="00AB6C33"/>
    <w:rsid w:val="00AC4243"/>
    <w:rsid w:val="00AD3B71"/>
    <w:rsid w:val="00B01329"/>
    <w:rsid w:val="00B028B9"/>
    <w:rsid w:val="00B12BE4"/>
    <w:rsid w:val="00B229CD"/>
    <w:rsid w:val="00B51B92"/>
    <w:rsid w:val="00B65021"/>
    <w:rsid w:val="00B91CA4"/>
    <w:rsid w:val="00B92C2F"/>
    <w:rsid w:val="00B94144"/>
    <w:rsid w:val="00BA1227"/>
    <w:rsid w:val="00BA35F3"/>
    <w:rsid w:val="00BA66A6"/>
    <w:rsid w:val="00BC0F23"/>
    <w:rsid w:val="00BC236C"/>
    <w:rsid w:val="00BD6A3E"/>
    <w:rsid w:val="00BE3447"/>
    <w:rsid w:val="00BF4FA1"/>
    <w:rsid w:val="00C24674"/>
    <w:rsid w:val="00C261A5"/>
    <w:rsid w:val="00C465F7"/>
    <w:rsid w:val="00C507C8"/>
    <w:rsid w:val="00C50DEE"/>
    <w:rsid w:val="00C53A71"/>
    <w:rsid w:val="00C546AF"/>
    <w:rsid w:val="00C618D7"/>
    <w:rsid w:val="00C64B3B"/>
    <w:rsid w:val="00C92F49"/>
    <w:rsid w:val="00C94162"/>
    <w:rsid w:val="00CA3A97"/>
    <w:rsid w:val="00CB4EC3"/>
    <w:rsid w:val="00CB68B1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104F6"/>
    <w:rsid w:val="00D22D09"/>
    <w:rsid w:val="00D314B5"/>
    <w:rsid w:val="00D40D80"/>
    <w:rsid w:val="00D56AB9"/>
    <w:rsid w:val="00D65C47"/>
    <w:rsid w:val="00D676F2"/>
    <w:rsid w:val="00D776DB"/>
    <w:rsid w:val="00D81305"/>
    <w:rsid w:val="00D8305F"/>
    <w:rsid w:val="00D842D1"/>
    <w:rsid w:val="00D84F8F"/>
    <w:rsid w:val="00D868E9"/>
    <w:rsid w:val="00D9362C"/>
    <w:rsid w:val="00D9382A"/>
    <w:rsid w:val="00D9696F"/>
    <w:rsid w:val="00D96C48"/>
    <w:rsid w:val="00D9718D"/>
    <w:rsid w:val="00DC33D0"/>
    <w:rsid w:val="00DD0D96"/>
    <w:rsid w:val="00DF25A2"/>
    <w:rsid w:val="00DF35BC"/>
    <w:rsid w:val="00DF5934"/>
    <w:rsid w:val="00DF5FCE"/>
    <w:rsid w:val="00DF7C40"/>
    <w:rsid w:val="00E000FC"/>
    <w:rsid w:val="00E01378"/>
    <w:rsid w:val="00E023C1"/>
    <w:rsid w:val="00E11A37"/>
    <w:rsid w:val="00E17A93"/>
    <w:rsid w:val="00E26DE1"/>
    <w:rsid w:val="00E316F0"/>
    <w:rsid w:val="00E33044"/>
    <w:rsid w:val="00E36A8E"/>
    <w:rsid w:val="00E372B3"/>
    <w:rsid w:val="00E57EF6"/>
    <w:rsid w:val="00E61FB4"/>
    <w:rsid w:val="00E6526E"/>
    <w:rsid w:val="00E726FD"/>
    <w:rsid w:val="00E77F7C"/>
    <w:rsid w:val="00EA0F60"/>
    <w:rsid w:val="00EA1E39"/>
    <w:rsid w:val="00EA4339"/>
    <w:rsid w:val="00EA4B2A"/>
    <w:rsid w:val="00EC5F89"/>
    <w:rsid w:val="00EE2607"/>
    <w:rsid w:val="00F00A33"/>
    <w:rsid w:val="00F15B78"/>
    <w:rsid w:val="00F16CB4"/>
    <w:rsid w:val="00F17A0E"/>
    <w:rsid w:val="00F22E62"/>
    <w:rsid w:val="00F27A18"/>
    <w:rsid w:val="00F454FF"/>
    <w:rsid w:val="00F5772A"/>
    <w:rsid w:val="00F64B6E"/>
    <w:rsid w:val="00F70630"/>
    <w:rsid w:val="00F74A97"/>
    <w:rsid w:val="00F7633A"/>
    <w:rsid w:val="00F768C6"/>
    <w:rsid w:val="00F77CDD"/>
    <w:rsid w:val="00F85200"/>
    <w:rsid w:val="00F9631D"/>
    <w:rsid w:val="00FA6E5E"/>
    <w:rsid w:val="00FB09AF"/>
    <w:rsid w:val="00FB54FD"/>
    <w:rsid w:val="00FF350D"/>
    <w:rsid w:val="00FF4DAC"/>
    <w:rsid w:val="00FF7E40"/>
    <w:rsid w:val="02C92481"/>
    <w:rsid w:val="02CD2183"/>
    <w:rsid w:val="03156985"/>
    <w:rsid w:val="03594B8C"/>
    <w:rsid w:val="05986FCB"/>
    <w:rsid w:val="0C2DA1BB"/>
    <w:rsid w:val="0EE3805B"/>
    <w:rsid w:val="0F0CA803"/>
    <w:rsid w:val="121005FD"/>
    <w:rsid w:val="144498A7"/>
    <w:rsid w:val="14651617"/>
    <w:rsid w:val="17F26A3F"/>
    <w:rsid w:val="1B370CCA"/>
    <w:rsid w:val="1EAC1C97"/>
    <w:rsid w:val="21575CEB"/>
    <w:rsid w:val="21889094"/>
    <w:rsid w:val="21E3BD59"/>
    <w:rsid w:val="22CE2EA9"/>
    <w:rsid w:val="25703226"/>
    <w:rsid w:val="2605CF6B"/>
    <w:rsid w:val="26737D45"/>
    <w:rsid w:val="2A29459A"/>
    <w:rsid w:val="2AF39E3D"/>
    <w:rsid w:val="2B3FE3DD"/>
    <w:rsid w:val="323C4505"/>
    <w:rsid w:val="34E1169A"/>
    <w:rsid w:val="3BE3274B"/>
    <w:rsid w:val="3E92091F"/>
    <w:rsid w:val="402DD980"/>
    <w:rsid w:val="409D7011"/>
    <w:rsid w:val="42394072"/>
    <w:rsid w:val="433B4179"/>
    <w:rsid w:val="471E2294"/>
    <w:rsid w:val="47B1E96A"/>
    <w:rsid w:val="490627EF"/>
    <w:rsid w:val="4A9B0F6B"/>
    <w:rsid w:val="4D302BFB"/>
    <w:rsid w:val="4F1FB100"/>
    <w:rsid w:val="4F2E7B7F"/>
    <w:rsid w:val="50FF835F"/>
    <w:rsid w:val="5343272F"/>
    <w:rsid w:val="536B20CB"/>
    <w:rsid w:val="5428C954"/>
    <w:rsid w:val="58C7F40C"/>
    <w:rsid w:val="5AA1FC30"/>
    <w:rsid w:val="5BB12D93"/>
    <w:rsid w:val="5C966ABC"/>
    <w:rsid w:val="5FDF69A5"/>
    <w:rsid w:val="67310FF5"/>
    <w:rsid w:val="686C4606"/>
    <w:rsid w:val="6BAD8A08"/>
    <w:rsid w:val="70FE064B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2F46F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68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,List Paragraph compact,Normal bullet 2,Paragraphe de liste 2,Reference list,Bullet list,Numbered List,List Paragraph1,1st level - Bullet List Paragraph,Paragraph,L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,List Paragraph compact Znak,Normal bullet 2 Znak,Paragraphe de liste 2 Znak,Reference list Znak,Bullet list Znak,Numbered List Znak,L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siatki1jasna">
    <w:name w:val="Grid Table 1 Light"/>
    <w:basedOn w:val="Standardowy"/>
    <w:uiPriority w:val="46"/>
    <w:rsid w:val="00C9416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cxw191472191">
    <w:name w:val="scxw191472191"/>
    <w:basedOn w:val="Domylnaczcionkaakapitu"/>
    <w:rsid w:val="005648E6"/>
  </w:style>
  <w:style w:type="character" w:customStyle="1" w:styleId="spellingerror">
    <w:name w:val="spellingerror"/>
    <w:basedOn w:val="Domylnaczcionkaakapitu"/>
    <w:rsid w:val="005648E6"/>
  </w:style>
  <w:style w:type="paragraph" w:styleId="Tytu">
    <w:name w:val="Title"/>
    <w:basedOn w:val="Normalny"/>
    <w:next w:val="Normalny"/>
    <w:link w:val="TytuZnak"/>
    <w:uiPriority w:val="10"/>
    <w:qFormat/>
    <w:rsid w:val="00D86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68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68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68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6C9EA53D-6C71-4588-9DA0-AEF15D68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3808</Words>
  <Characters>22851</Characters>
  <Application>Microsoft Office Word</Application>
  <DocSecurity>0</DocSecurity>
  <Lines>190</Lines>
  <Paragraphs>53</Paragraphs>
  <ScaleCrop>false</ScaleCrop>
  <Company/>
  <LinksUpToDate>false</LinksUpToDate>
  <CharactersWithSpaces>26606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Zientara Martyna</cp:lastModifiedBy>
  <cp:revision>11</cp:revision>
  <cp:lastPrinted>2022-04-15T07:22:00Z</cp:lastPrinted>
  <dcterms:created xsi:type="dcterms:W3CDTF">2024-03-05T10:49:00Z</dcterms:created>
  <dcterms:modified xsi:type="dcterms:W3CDTF">2024-03-28T06:37:00Z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