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9FECE" w14:textId="00FF0E99" w:rsidR="00023B45" w:rsidRPr="007A0451" w:rsidRDefault="00023B45" w:rsidP="108AAFA3">
      <w:pPr>
        <w:spacing w:after="0" w:line="360" w:lineRule="auto"/>
        <w:jc w:val="center"/>
        <w:rPr>
          <w:rFonts w:eastAsiaTheme="minorEastAsia"/>
          <w:b/>
          <w:bCs/>
          <w:sz w:val="24"/>
          <w:szCs w:val="24"/>
        </w:rPr>
      </w:pPr>
      <w:r w:rsidRPr="108AAFA3">
        <w:rPr>
          <w:rFonts w:eastAsiaTheme="minorEastAsia"/>
          <w:b/>
          <w:bCs/>
          <w:sz w:val="24"/>
          <w:szCs w:val="24"/>
        </w:rPr>
        <w:t xml:space="preserve">Uchwała nr </w:t>
      </w:r>
      <w:r w:rsidR="63B5721E" w:rsidRPr="108AAFA3">
        <w:rPr>
          <w:rFonts w:eastAsiaTheme="minorEastAsia"/>
          <w:b/>
          <w:bCs/>
          <w:sz w:val="24"/>
          <w:szCs w:val="24"/>
        </w:rPr>
        <w:t>96</w:t>
      </w:r>
    </w:p>
    <w:p w14:paraId="57910B90" w14:textId="77777777" w:rsidR="00023B45" w:rsidRPr="007A0451" w:rsidRDefault="00023B45" w:rsidP="108AAFA3">
      <w:pPr>
        <w:spacing w:after="0" w:line="360" w:lineRule="auto"/>
        <w:jc w:val="center"/>
        <w:rPr>
          <w:rFonts w:eastAsiaTheme="minorEastAsia"/>
          <w:b/>
          <w:bCs/>
          <w:sz w:val="24"/>
          <w:szCs w:val="24"/>
        </w:rPr>
      </w:pPr>
      <w:r w:rsidRPr="108AAFA3">
        <w:rPr>
          <w:rFonts w:eastAsiaTheme="minorEastAsia"/>
          <w:b/>
          <w:bCs/>
          <w:sz w:val="24"/>
          <w:szCs w:val="24"/>
        </w:rPr>
        <w:t xml:space="preserve">Komitetu Monitorującego </w:t>
      </w:r>
    </w:p>
    <w:p w14:paraId="72756E46" w14:textId="77777777" w:rsidR="00023B45" w:rsidRPr="007A0451" w:rsidRDefault="00023B45" w:rsidP="108AAFA3">
      <w:pPr>
        <w:spacing w:after="0" w:line="360" w:lineRule="auto"/>
        <w:jc w:val="center"/>
        <w:rPr>
          <w:rFonts w:eastAsiaTheme="minorEastAsia"/>
          <w:b/>
          <w:bCs/>
          <w:sz w:val="24"/>
          <w:szCs w:val="24"/>
        </w:rPr>
      </w:pPr>
      <w:r w:rsidRPr="108AAFA3">
        <w:rPr>
          <w:rFonts w:eastAsiaTheme="minorEastAsia"/>
          <w:b/>
          <w:bCs/>
          <w:sz w:val="24"/>
          <w:szCs w:val="24"/>
        </w:rPr>
        <w:t>program Fundusze Europejskie dla Śląskiego 2021- 2027</w:t>
      </w:r>
    </w:p>
    <w:p w14:paraId="1E1460E7" w14:textId="5DECF00D" w:rsidR="00023B45" w:rsidRPr="007A0451" w:rsidRDefault="00023B45" w:rsidP="108AAFA3">
      <w:pPr>
        <w:spacing w:after="0" w:line="360" w:lineRule="auto"/>
        <w:jc w:val="center"/>
        <w:rPr>
          <w:rFonts w:eastAsiaTheme="minorEastAsia"/>
          <w:b/>
          <w:bCs/>
          <w:sz w:val="24"/>
          <w:szCs w:val="24"/>
        </w:rPr>
      </w:pPr>
      <w:r w:rsidRPr="108AAFA3">
        <w:rPr>
          <w:rFonts w:eastAsiaTheme="minorEastAsia"/>
          <w:b/>
          <w:bCs/>
          <w:sz w:val="24"/>
          <w:szCs w:val="24"/>
        </w:rPr>
        <w:t xml:space="preserve"> z dnia </w:t>
      </w:r>
      <w:r w:rsidR="004F0D5A" w:rsidRPr="108AAFA3">
        <w:rPr>
          <w:rFonts w:eastAsiaTheme="minorEastAsia"/>
          <w:b/>
          <w:bCs/>
          <w:sz w:val="24"/>
          <w:szCs w:val="24"/>
        </w:rPr>
        <w:t xml:space="preserve">12 października </w:t>
      </w:r>
      <w:r w:rsidRPr="108AAFA3">
        <w:rPr>
          <w:rFonts w:eastAsiaTheme="minorEastAsia"/>
          <w:b/>
          <w:bCs/>
          <w:sz w:val="24"/>
          <w:szCs w:val="24"/>
        </w:rPr>
        <w:t>2023 roku</w:t>
      </w:r>
    </w:p>
    <w:p w14:paraId="0ED63FEF" w14:textId="77777777" w:rsidR="00023B45" w:rsidRPr="007A0451" w:rsidRDefault="00023B45" w:rsidP="108AAFA3">
      <w:pPr>
        <w:spacing w:after="120" w:line="360" w:lineRule="auto"/>
        <w:jc w:val="center"/>
        <w:rPr>
          <w:rFonts w:eastAsiaTheme="minorEastAsia"/>
          <w:b/>
          <w:bCs/>
          <w:sz w:val="24"/>
          <w:szCs w:val="24"/>
        </w:rPr>
      </w:pPr>
      <w:r w:rsidRPr="108AAFA3">
        <w:rPr>
          <w:rFonts w:eastAsiaTheme="minorEastAsia"/>
          <w:b/>
          <w:bCs/>
          <w:sz w:val="24"/>
          <w:szCs w:val="24"/>
        </w:rPr>
        <w:t>w sprawie</w:t>
      </w:r>
    </w:p>
    <w:p w14:paraId="4C5F6846" w14:textId="08C8C283" w:rsidR="00023B45" w:rsidRPr="007A0451" w:rsidRDefault="00023B45" w:rsidP="108AAFA3">
      <w:pPr>
        <w:pStyle w:val="Default"/>
        <w:spacing w:after="360" w:line="360" w:lineRule="auto"/>
        <w:jc w:val="center"/>
        <w:rPr>
          <w:rFonts w:asciiTheme="minorHAnsi" w:eastAsiaTheme="minorEastAsia" w:hAnsiTheme="minorHAnsi" w:cstheme="minorBidi"/>
          <w:b/>
          <w:bCs/>
        </w:rPr>
      </w:pPr>
      <w:bookmarkStart w:id="0" w:name="_GoBack"/>
      <w:r w:rsidRPr="108AAFA3">
        <w:rPr>
          <w:rFonts w:asciiTheme="minorHAnsi" w:eastAsiaTheme="minorEastAsia" w:hAnsiTheme="minorHAnsi" w:cstheme="minorBidi"/>
          <w:b/>
          <w:bCs/>
        </w:rPr>
        <w:t xml:space="preserve">zatwierdzenia kryteriów wyboru projektów dla </w:t>
      </w:r>
      <w:r w:rsidRPr="108AAFA3">
        <w:rPr>
          <w:rStyle w:val="normaltextrun"/>
          <w:rFonts w:asciiTheme="minorHAnsi" w:eastAsiaTheme="minorEastAsia" w:hAnsiTheme="minorHAnsi" w:cstheme="minorBidi"/>
          <w:b/>
          <w:bCs/>
          <w:shd w:val="clear" w:color="auto" w:fill="FFFFFF"/>
        </w:rPr>
        <w:t>działania 02.12 Gospodarka odpadami</w:t>
      </w:r>
      <w:r w:rsidR="682F175E" w:rsidRPr="108AAFA3">
        <w:rPr>
          <w:rStyle w:val="normaltextrun"/>
          <w:rFonts w:asciiTheme="minorHAnsi" w:eastAsiaTheme="minorEastAsia" w:hAnsiTheme="minorHAnsi" w:cstheme="minorBidi"/>
          <w:b/>
          <w:bCs/>
          <w:shd w:val="clear" w:color="auto" w:fill="FFFFFF"/>
        </w:rPr>
        <w:t xml:space="preserve"> komunalnymi</w:t>
      </w:r>
      <w:r w:rsidRPr="108AAFA3">
        <w:rPr>
          <w:rStyle w:val="normaltextrun"/>
          <w:rFonts w:asciiTheme="minorHAnsi" w:eastAsiaTheme="minorEastAsia" w:hAnsiTheme="minorHAnsi" w:cstheme="minorBidi"/>
          <w:b/>
          <w:bCs/>
          <w:shd w:val="clear" w:color="auto" w:fill="FFFFFF"/>
        </w:rPr>
        <w:t xml:space="preserve"> typ</w:t>
      </w:r>
      <w:r w:rsidR="008412B1" w:rsidRPr="108AAFA3">
        <w:rPr>
          <w:rStyle w:val="normaltextrun"/>
          <w:rFonts w:asciiTheme="minorHAnsi" w:eastAsiaTheme="minorEastAsia" w:hAnsiTheme="minorHAnsi" w:cstheme="minorBidi"/>
          <w:b/>
          <w:bCs/>
          <w:shd w:val="clear" w:color="auto" w:fill="FFFFFF"/>
        </w:rPr>
        <w:t>:</w:t>
      </w:r>
      <w:r w:rsidRPr="108AAFA3">
        <w:rPr>
          <w:rStyle w:val="normaltextrun"/>
          <w:rFonts w:asciiTheme="minorHAnsi" w:eastAsiaTheme="minorEastAsia" w:hAnsiTheme="minorHAnsi" w:cstheme="minorBidi"/>
          <w:b/>
          <w:bCs/>
          <w:shd w:val="clear" w:color="auto" w:fill="FFFFFF"/>
        </w:rPr>
        <w:t xml:space="preserve"> </w:t>
      </w:r>
      <w:r w:rsidR="188C791D" w:rsidRPr="108AAFA3">
        <w:rPr>
          <w:rFonts w:asciiTheme="minorHAnsi" w:eastAsiaTheme="minorEastAsia" w:hAnsiTheme="minorHAnsi" w:cstheme="minorBidi"/>
          <w:b/>
          <w:bCs/>
          <w:color w:val="000000" w:themeColor="text1"/>
        </w:rPr>
        <w:t>Budowa/rozwój/modernizacja zakładów odzysku i unieszkodliwiania odpadów</w:t>
      </w:r>
      <w:r w:rsidRPr="108AAFA3">
        <w:rPr>
          <w:rFonts w:asciiTheme="minorHAnsi" w:eastAsiaTheme="minorEastAsia" w:hAnsiTheme="minorHAnsi" w:cstheme="minorBidi"/>
          <w:b/>
          <w:bCs/>
          <w:color w:val="000000" w:themeColor="text1"/>
        </w:rPr>
        <w:t xml:space="preserve"> </w:t>
      </w:r>
      <w:r w:rsidR="008412B1" w:rsidRPr="108AAFA3">
        <w:rPr>
          <w:rFonts w:asciiTheme="minorHAnsi" w:eastAsiaTheme="minorEastAsia" w:hAnsiTheme="minorHAnsi" w:cstheme="minorBidi"/>
          <w:b/>
          <w:bCs/>
          <w:color w:val="000000" w:themeColor="text1"/>
        </w:rPr>
        <w:t xml:space="preserve">- </w:t>
      </w:r>
      <w:r w:rsidRPr="108AAFA3">
        <w:rPr>
          <w:rStyle w:val="normaltextrun"/>
          <w:rFonts w:asciiTheme="minorHAnsi" w:eastAsiaTheme="minorEastAsia" w:hAnsiTheme="minorHAnsi" w:cstheme="minorBidi"/>
          <w:b/>
          <w:bCs/>
          <w:shd w:val="clear" w:color="auto" w:fill="FFFFFF"/>
        </w:rPr>
        <w:t>tryb niekonkurencyjny</w:t>
      </w:r>
      <w:r w:rsidR="48C0D40A" w:rsidRPr="108AAFA3">
        <w:rPr>
          <w:rStyle w:val="normaltextrun"/>
          <w:rFonts w:asciiTheme="minorHAnsi" w:eastAsiaTheme="minorEastAsia" w:hAnsiTheme="minorHAnsi" w:cstheme="minorBidi"/>
          <w:b/>
          <w:bCs/>
          <w:shd w:val="clear" w:color="auto" w:fill="FFFFFF"/>
        </w:rPr>
        <w:t>,</w:t>
      </w:r>
      <w:r w:rsidRPr="108AAFA3">
        <w:rPr>
          <w:rStyle w:val="normaltextrun"/>
          <w:rFonts w:asciiTheme="minorHAnsi" w:eastAsiaTheme="minorEastAsia" w:hAnsiTheme="minorHAnsi" w:cstheme="minorBidi"/>
          <w:b/>
          <w:bCs/>
          <w:shd w:val="clear" w:color="auto" w:fill="FFFFFF"/>
        </w:rPr>
        <w:t xml:space="preserve"> </w:t>
      </w:r>
      <w:r w:rsidRPr="108AAFA3">
        <w:rPr>
          <w:rFonts w:asciiTheme="minorHAnsi" w:eastAsiaTheme="minorEastAsia" w:hAnsiTheme="minorHAnsi" w:cstheme="minorBidi"/>
          <w:b/>
          <w:bCs/>
        </w:rPr>
        <w:t>Programu Fundusze Europejskie dla Śląskiego 2021-2027</w:t>
      </w:r>
    </w:p>
    <w:bookmarkEnd w:id="0"/>
    <w:p w14:paraId="033024F8" w14:textId="77777777" w:rsidR="00023B45" w:rsidRPr="007A0451" w:rsidRDefault="00023B45" w:rsidP="108AAFA3">
      <w:pPr>
        <w:spacing w:after="480" w:line="360" w:lineRule="auto"/>
        <w:rPr>
          <w:rFonts w:eastAsiaTheme="minorEastAsia"/>
          <w:sz w:val="24"/>
          <w:szCs w:val="24"/>
        </w:rPr>
      </w:pPr>
      <w:r w:rsidRPr="108AAFA3">
        <w:rPr>
          <w:rFonts w:eastAsiaTheme="minorEastAsia"/>
          <w:sz w:val="24"/>
          <w:szCs w:val="24"/>
        </w:rPr>
        <w:t xml:space="preserve"> 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6906E1E8" w14:textId="77777777" w:rsidR="00023B45" w:rsidRPr="007A0451" w:rsidRDefault="00023B45" w:rsidP="108AAFA3">
      <w:pPr>
        <w:spacing w:before="120" w:after="120"/>
        <w:jc w:val="center"/>
        <w:rPr>
          <w:rFonts w:eastAsiaTheme="minorEastAsia"/>
          <w:sz w:val="24"/>
          <w:szCs w:val="24"/>
        </w:rPr>
      </w:pPr>
      <w:r w:rsidRPr="108AAFA3">
        <w:rPr>
          <w:rFonts w:eastAsiaTheme="minorEastAsia"/>
          <w:b/>
          <w:bCs/>
          <w:sz w:val="24"/>
          <w:szCs w:val="24"/>
        </w:rPr>
        <w:t>§ 1</w:t>
      </w:r>
    </w:p>
    <w:p w14:paraId="48157ABE" w14:textId="1AB171A5" w:rsidR="00023B45" w:rsidRPr="007A0451" w:rsidRDefault="00023B45" w:rsidP="108AAFA3">
      <w:pPr>
        <w:pStyle w:val="Akapitzlist"/>
        <w:numPr>
          <w:ilvl w:val="0"/>
          <w:numId w:val="24"/>
        </w:numPr>
        <w:spacing w:line="360" w:lineRule="auto"/>
        <w:jc w:val="both"/>
        <w:rPr>
          <w:rStyle w:val="Pogrubienie"/>
          <w:rFonts w:asciiTheme="minorHAnsi" w:eastAsiaTheme="minorEastAsia" w:hAnsiTheme="minorHAnsi" w:cstheme="minorBidi"/>
          <w:b w:val="0"/>
          <w:bCs w:val="0"/>
          <w:sz w:val="24"/>
          <w:szCs w:val="24"/>
        </w:rPr>
      </w:pPr>
      <w:r w:rsidRPr="108AAFA3">
        <w:rPr>
          <w:rStyle w:val="Pogrubienie"/>
          <w:rFonts w:asciiTheme="minorHAnsi" w:eastAsiaTheme="minorEastAsia" w:hAnsiTheme="minorHAnsi" w:cstheme="minorBidi"/>
          <w:b w:val="0"/>
          <w:bCs w:val="0"/>
          <w:sz w:val="24"/>
          <w:szCs w:val="24"/>
        </w:rPr>
        <w:t>Zatwierdza się kryteria wyboru projektów</w:t>
      </w:r>
      <w:r w:rsidRPr="108AAFA3">
        <w:rPr>
          <w:rFonts w:asciiTheme="minorHAnsi" w:eastAsiaTheme="minorEastAsia" w:hAnsiTheme="minorHAnsi" w:cstheme="minorBidi"/>
          <w:sz w:val="24"/>
          <w:szCs w:val="24"/>
        </w:rPr>
        <w:t xml:space="preserve"> dla </w:t>
      </w:r>
      <w:r w:rsidRPr="108AAFA3">
        <w:rPr>
          <w:rStyle w:val="normaltextrun"/>
          <w:rFonts w:asciiTheme="minorHAnsi" w:eastAsiaTheme="minorEastAsia" w:hAnsiTheme="minorHAnsi" w:cstheme="minorBidi"/>
          <w:color w:val="000000"/>
          <w:sz w:val="24"/>
          <w:szCs w:val="24"/>
          <w:shd w:val="clear" w:color="auto" w:fill="FFFFFF"/>
        </w:rPr>
        <w:t>działania 02.12 Gospodarka odpadami</w:t>
      </w:r>
      <w:r w:rsidR="1971F3E6" w:rsidRPr="108AAFA3">
        <w:rPr>
          <w:rStyle w:val="normaltextrun"/>
          <w:rFonts w:asciiTheme="minorHAnsi" w:eastAsiaTheme="minorEastAsia" w:hAnsiTheme="minorHAnsi" w:cstheme="minorBidi"/>
          <w:color w:val="000000"/>
          <w:sz w:val="24"/>
          <w:szCs w:val="24"/>
          <w:shd w:val="clear" w:color="auto" w:fill="FFFFFF"/>
        </w:rPr>
        <w:t xml:space="preserve"> komunalnymi</w:t>
      </w:r>
      <w:r w:rsidRPr="108AAFA3">
        <w:rPr>
          <w:rStyle w:val="normaltextrun"/>
          <w:rFonts w:asciiTheme="minorHAnsi" w:eastAsiaTheme="minorEastAsia" w:hAnsiTheme="minorHAnsi" w:cstheme="minorBidi"/>
          <w:color w:val="000000"/>
          <w:sz w:val="24"/>
          <w:szCs w:val="24"/>
          <w:shd w:val="clear" w:color="auto" w:fill="FFFFFF"/>
        </w:rPr>
        <w:t xml:space="preserve"> typ</w:t>
      </w:r>
      <w:r w:rsidR="00706C65" w:rsidRPr="108AAFA3">
        <w:rPr>
          <w:rStyle w:val="normaltextrun"/>
          <w:rFonts w:asciiTheme="minorHAnsi" w:eastAsiaTheme="minorEastAsia" w:hAnsiTheme="minorHAnsi" w:cstheme="minorBidi"/>
          <w:color w:val="000000"/>
          <w:sz w:val="24"/>
          <w:szCs w:val="24"/>
          <w:shd w:val="clear" w:color="auto" w:fill="FFFFFF"/>
        </w:rPr>
        <w:t>:</w:t>
      </w:r>
      <w:r w:rsidRPr="108AAFA3">
        <w:rPr>
          <w:rStyle w:val="normaltextrun"/>
          <w:rFonts w:asciiTheme="minorHAnsi" w:eastAsiaTheme="minorEastAsia" w:hAnsiTheme="minorHAnsi" w:cstheme="minorBidi"/>
          <w:color w:val="000000"/>
          <w:sz w:val="24"/>
          <w:szCs w:val="24"/>
          <w:shd w:val="clear" w:color="auto" w:fill="FFFFFF"/>
        </w:rPr>
        <w:t xml:space="preserve"> </w:t>
      </w:r>
      <w:r w:rsidR="1F487CF9" w:rsidRPr="108AAFA3">
        <w:rPr>
          <w:rStyle w:val="Pogrubienie"/>
          <w:rFonts w:asciiTheme="minorHAnsi" w:eastAsiaTheme="minorEastAsia" w:hAnsiTheme="minorHAnsi" w:cstheme="minorBidi"/>
          <w:b w:val="0"/>
          <w:bCs w:val="0"/>
          <w:sz w:val="24"/>
          <w:szCs w:val="24"/>
        </w:rPr>
        <w:t>Budowa/rozwój/modernizacja zakładów odzysku i unieszkodliwiania odpadów</w:t>
      </w:r>
      <w:r w:rsidR="00706C65" w:rsidRPr="108AAFA3">
        <w:rPr>
          <w:rStyle w:val="Pogrubienie"/>
          <w:rFonts w:asciiTheme="minorHAnsi" w:eastAsiaTheme="minorEastAsia" w:hAnsiTheme="minorHAnsi" w:cstheme="minorBidi"/>
          <w:b w:val="0"/>
          <w:bCs w:val="0"/>
          <w:sz w:val="24"/>
          <w:szCs w:val="24"/>
        </w:rPr>
        <w:t xml:space="preserve"> -</w:t>
      </w:r>
      <w:r w:rsidRPr="108AAFA3">
        <w:rPr>
          <w:rStyle w:val="Pogrubienie"/>
          <w:rFonts w:asciiTheme="minorHAnsi" w:eastAsiaTheme="minorEastAsia" w:hAnsiTheme="minorHAnsi" w:cstheme="minorBidi"/>
          <w:b w:val="0"/>
          <w:bCs w:val="0"/>
          <w:sz w:val="24"/>
          <w:szCs w:val="24"/>
        </w:rPr>
        <w:t xml:space="preserve"> tryb niekonkurencyjny</w:t>
      </w:r>
      <w:r w:rsidR="69B44671" w:rsidRPr="108AAFA3">
        <w:rPr>
          <w:rStyle w:val="Pogrubienie"/>
          <w:rFonts w:asciiTheme="minorHAnsi" w:eastAsiaTheme="minorEastAsia" w:hAnsiTheme="minorHAnsi" w:cstheme="minorBidi"/>
          <w:b w:val="0"/>
          <w:bCs w:val="0"/>
          <w:sz w:val="24"/>
          <w:szCs w:val="24"/>
        </w:rPr>
        <w:t>.</w:t>
      </w:r>
    </w:p>
    <w:p w14:paraId="7B12A65C" w14:textId="77777777" w:rsidR="00023B45" w:rsidRPr="007A0451" w:rsidRDefault="00023B45" w:rsidP="108AAFA3">
      <w:pPr>
        <w:pStyle w:val="Akapitzlist"/>
        <w:numPr>
          <w:ilvl w:val="0"/>
          <w:numId w:val="24"/>
        </w:numPr>
        <w:spacing w:after="720" w:line="360" w:lineRule="auto"/>
        <w:ind w:left="714" w:hanging="357"/>
        <w:jc w:val="both"/>
        <w:rPr>
          <w:rFonts w:asciiTheme="minorHAnsi" w:eastAsiaTheme="minorEastAsia" w:hAnsiTheme="minorHAnsi" w:cstheme="minorBidi"/>
          <w:i/>
          <w:iCs/>
          <w:sz w:val="24"/>
          <w:szCs w:val="24"/>
        </w:rPr>
      </w:pPr>
      <w:r w:rsidRPr="108AAFA3">
        <w:rPr>
          <w:rFonts w:asciiTheme="minorHAnsi" w:eastAsiaTheme="minorEastAsia" w:hAnsiTheme="minorHAnsi" w:cstheme="minorBidi"/>
          <w:sz w:val="24"/>
          <w:szCs w:val="24"/>
        </w:rPr>
        <w:t>Kryteria wyboru projektów stanowią załącznik do niniejszej uchwały.</w:t>
      </w:r>
    </w:p>
    <w:p w14:paraId="15850160" w14:textId="77777777" w:rsidR="00023B45" w:rsidRPr="007A0451" w:rsidRDefault="00023B45" w:rsidP="108AAFA3">
      <w:pPr>
        <w:pStyle w:val="Akapitzlist"/>
        <w:tabs>
          <w:tab w:val="left" w:pos="4253"/>
        </w:tabs>
        <w:ind w:left="3540" w:firstLine="708"/>
        <w:rPr>
          <w:rFonts w:asciiTheme="minorHAnsi" w:eastAsiaTheme="minorEastAsia" w:hAnsiTheme="minorHAnsi" w:cstheme="minorBidi"/>
          <w:b/>
          <w:bCs/>
          <w:sz w:val="24"/>
          <w:szCs w:val="24"/>
        </w:rPr>
      </w:pPr>
      <w:r w:rsidRPr="108AAFA3">
        <w:rPr>
          <w:rFonts w:asciiTheme="minorHAnsi" w:eastAsiaTheme="minorEastAsia" w:hAnsiTheme="minorHAnsi" w:cstheme="minorBidi"/>
          <w:b/>
          <w:bCs/>
          <w:sz w:val="24"/>
          <w:szCs w:val="24"/>
        </w:rPr>
        <w:t>§ 2</w:t>
      </w:r>
    </w:p>
    <w:p w14:paraId="2A926D5C" w14:textId="77777777" w:rsidR="00023B45" w:rsidRPr="007A0451" w:rsidRDefault="00023B45" w:rsidP="108AAFA3">
      <w:pPr>
        <w:spacing w:before="120" w:after="120"/>
        <w:rPr>
          <w:rFonts w:eastAsiaTheme="minorEastAsia"/>
          <w:sz w:val="24"/>
          <w:szCs w:val="24"/>
        </w:rPr>
      </w:pPr>
      <w:r w:rsidRPr="108AAFA3">
        <w:rPr>
          <w:rFonts w:eastAsiaTheme="minorEastAsia"/>
          <w:sz w:val="24"/>
          <w:szCs w:val="24"/>
        </w:rPr>
        <w:t>Uchwała wchodzi w życie z dniem podjęcia.</w:t>
      </w:r>
    </w:p>
    <w:p w14:paraId="6049274D" w14:textId="218380D2" w:rsidR="16F992DA" w:rsidRDefault="16F992DA" w:rsidP="108AAFA3">
      <w:pPr>
        <w:pStyle w:val="NormalnyWeb"/>
        <w:spacing w:line="276" w:lineRule="auto"/>
        <w:ind w:left="5664" w:right="1275"/>
        <w:jc w:val="center"/>
        <w:rPr>
          <w:rFonts w:asciiTheme="minorHAnsi" w:eastAsiaTheme="minorEastAsia" w:hAnsiTheme="minorHAnsi" w:cstheme="minorBidi"/>
          <w:color w:val="000000" w:themeColor="text1"/>
        </w:rPr>
      </w:pPr>
      <w:r w:rsidRPr="108AAFA3">
        <w:rPr>
          <w:rFonts w:asciiTheme="minorHAnsi" w:eastAsiaTheme="minorEastAsia" w:hAnsiTheme="minorHAnsi" w:cstheme="minorBidi"/>
          <w:b/>
          <w:bCs/>
          <w:color w:val="000000" w:themeColor="text1"/>
        </w:rPr>
        <w:t>Zastępca Przewodniczącego</w:t>
      </w:r>
    </w:p>
    <w:p w14:paraId="6E569EDB" w14:textId="72B8C303" w:rsidR="003B0E5F" w:rsidRDefault="16F992DA" w:rsidP="108AAFA3">
      <w:pPr>
        <w:pStyle w:val="NormalnyWeb"/>
        <w:spacing w:line="276" w:lineRule="auto"/>
        <w:ind w:left="4248"/>
        <w:jc w:val="center"/>
        <w:rPr>
          <w:rFonts w:asciiTheme="minorHAnsi" w:eastAsiaTheme="minorEastAsia" w:hAnsiTheme="minorHAnsi" w:cstheme="minorBidi"/>
          <w:color w:val="000000" w:themeColor="text1"/>
        </w:rPr>
      </w:pPr>
      <w:r w:rsidRPr="108AAFA3">
        <w:rPr>
          <w:rFonts w:asciiTheme="minorHAnsi" w:eastAsiaTheme="minorEastAsia" w:hAnsiTheme="minorHAnsi" w:cstheme="minorBidi"/>
          <w:b/>
          <w:bCs/>
          <w:color w:val="000000" w:themeColor="text1"/>
        </w:rPr>
        <w:t>KM FE SL 2021-202</w:t>
      </w:r>
      <w:r w:rsidR="3344680A" w:rsidRPr="108AAFA3">
        <w:rPr>
          <w:rFonts w:asciiTheme="minorHAnsi" w:eastAsiaTheme="minorEastAsia" w:hAnsiTheme="minorHAnsi" w:cstheme="minorBidi"/>
          <w:b/>
          <w:bCs/>
          <w:color w:val="000000" w:themeColor="text1"/>
        </w:rPr>
        <w:t>7</w:t>
      </w:r>
    </w:p>
    <w:p w14:paraId="011F5FAF" w14:textId="7793FA1E" w:rsidR="003B0E5F" w:rsidRDefault="16F992DA" w:rsidP="108AAFA3">
      <w:pPr>
        <w:pStyle w:val="NormalnyWeb"/>
        <w:spacing w:line="276" w:lineRule="auto"/>
        <w:ind w:left="4248"/>
        <w:jc w:val="center"/>
        <w:rPr>
          <w:rFonts w:asciiTheme="minorHAnsi" w:eastAsiaTheme="minorEastAsia" w:hAnsiTheme="minorHAnsi" w:cstheme="minorBidi"/>
          <w:color w:val="000000" w:themeColor="text1"/>
        </w:rPr>
        <w:sectPr w:rsidR="003B0E5F" w:rsidSect="003B0E5F">
          <w:headerReference w:type="default" r:id="rId11"/>
          <w:footerReference w:type="default" r:id="rId12"/>
          <w:pgSz w:w="11906" w:h="16838"/>
          <w:pgMar w:top="1417" w:right="1417" w:bottom="1417" w:left="1417" w:header="708" w:footer="708" w:gutter="0"/>
          <w:cols w:space="708"/>
          <w:titlePg/>
          <w:docGrid w:linePitch="360"/>
        </w:sectPr>
      </w:pPr>
      <w:r w:rsidRPr="108AAFA3">
        <w:rPr>
          <w:rFonts w:asciiTheme="minorHAnsi" w:eastAsiaTheme="minorEastAsia" w:hAnsiTheme="minorHAnsi" w:cstheme="minorBidi"/>
          <w:b/>
          <w:bCs/>
          <w:color w:val="000000" w:themeColor="text1"/>
        </w:rPr>
        <w:lastRenderedPageBreak/>
        <w:t>Anna Jedynak-Rykała</w:t>
      </w:r>
    </w:p>
    <w:p w14:paraId="2BA66004" w14:textId="77777777" w:rsidR="00812367" w:rsidRPr="00B4224A" w:rsidRDefault="00812367" w:rsidP="00812367">
      <w:pPr>
        <w:keepNext/>
        <w:spacing w:before="240" w:line="240" w:lineRule="auto"/>
        <w:rPr>
          <w:rFonts w:ascii="Arial" w:hAnsi="Arial" w:cs="Arial"/>
          <w:b/>
          <w:iCs/>
          <w:sz w:val="24"/>
          <w:szCs w:val="24"/>
        </w:rPr>
      </w:pPr>
      <w:r w:rsidRPr="00B4224A">
        <w:rPr>
          <w:rFonts w:ascii="Arial" w:hAnsi="Arial" w:cs="Arial"/>
          <w:b/>
          <w:iCs/>
          <w:sz w:val="24"/>
          <w:szCs w:val="24"/>
        </w:rPr>
        <w:lastRenderedPageBreak/>
        <w:t xml:space="preserve">Tabela </w:t>
      </w:r>
      <w:r w:rsidRPr="00B4224A">
        <w:rPr>
          <w:rFonts w:ascii="Arial" w:hAnsi="Arial" w:cs="Arial"/>
          <w:b/>
          <w:iCs/>
          <w:sz w:val="24"/>
          <w:szCs w:val="24"/>
        </w:rPr>
        <w:fldChar w:fldCharType="begin"/>
      </w:r>
      <w:r w:rsidRPr="00B4224A">
        <w:rPr>
          <w:rFonts w:ascii="Arial" w:hAnsi="Arial" w:cs="Arial"/>
          <w:b/>
          <w:iCs/>
          <w:sz w:val="24"/>
          <w:szCs w:val="24"/>
        </w:rPr>
        <w:instrText xml:space="preserve"> SEQ Tabela \* ARABIC </w:instrText>
      </w:r>
      <w:r w:rsidRPr="00B4224A">
        <w:rPr>
          <w:rFonts w:ascii="Arial" w:hAnsi="Arial" w:cs="Arial"/>
          <w:b/>
          <w:iCs/>
          <w:sz w:val="24"/>
          <w:szCs w:val="24"/>
        </w:rPr>
        <w:fldChar w:fldCharType="separate"/>
      </w:r>
      <w:r w:rsidRPr="00B4224A">
        <w:rPr>
          <w:rFonts w:ascii="Arial" w:hAnsi="Arial" w:cs="Arial"/>
          <w:b/>
          <w:iCs/>
          <w:noProof/>
          <w:sz w:val="24"/>
          <w:szCs w:val="24"/>
        </w:rPr>
        <w:t>1</w:t>
      </w:r>
      <w:r w:rsidRPr="00B4224A">
        <w:rPr>
          <w:rFonts w:ascii="Arial" w:hAnsi="Arial" w:cs="Arial"/>
          <w:b/>
          <w:iCs/>
          <w:sz w:val="24"/>
          <w:szCs w:val="24"/>
        </w:rPr>
        <w:fldChar w:fldCharType="end"/>
      </w:r>
      <w:r w:rsidRPr="00B4224A">
        <w:rPr>
          <w:rFonts w:ascii="Arial" w:hAnsi="Arial" w:cs="Arial"/>
          <w:b/>
          <w:iCs/>
          <w:sz w:val="24"/>
          <w:szCs w:val="24"/>
        </w:rPr>
        <w:t>. Kryteria formalne ogólne</w:t>
      </w:r>
    </w:p>
    <w:tbl>
      <w:tblPr>
        <w:tblStyle w:val="Tabela-Siatka"/>
        <w:tblpPr w:leftFromText="141" w:rightFromText="141" w:vertAnchor="text" w:tblpY="1"/>
        <w:tblOverlap w:val="never"/>
        <w:tblW w:w="14049" w:type="dxa"/>
        <w:tblLayout w:type="fixed"/>
        <w:tblLook w:val="04A0" w:firstRow="1" w:lastRow="0" w:firstColumn="1" w:lastColumn="0" w:noHBand="0" w:noVBand="1"/>
        <w:tblCaption w:val="Kryteria formalne ogólne"/>
        <w:tblDescription w:val="Tabela 1. Zestawienie kryteriów formalnych ogólnych dla działania 2.12"/>
      </w:tblPr>
      <w:tblGrid>
        <w:gridCol w:w="988"/>
        <w:gridCol w:w="2075"/>
        <w:gridCol w:w="5685"/>
        <w:gridCol w:w="2020"/>
        <w:gridCol w:w="1560"/>
        <w:gridCol w:w="1721"/>
      </w:tblGrid>
      <w:tr w:rsidR="00812367" w:rsidRPr="00E10945" w14:paraId="0C02CBE2" w14:textId="77777777" w:rsidTr="006B59F6">
        <w:trPr>
          <w:trHeight w:val="300"/>
          <w:tblHeader/>
        </w:trPr>
        <w:tc>
          <w:tcPr>
            <w:tcW w:w="988" w:type="dxa"/>
            <w:shd w:val="clear" w:color="auto" w:fill="A6A6A6" w:themeFill="background1" w:themeFillShade="A6"/>
            <w:hideMark/>
          </w:tcPr>
          <w:p w14:paraId="28BE5013" w14:textId="77777777" w:rsidR="00812367" w:rsidRPr="00E10945" w:rsidRDefault="00812367" w:rsidP="006B59F6">
            <w:pPr>
              <w:pStyle w:val="Akapitzlist"/>
              <w:ind w:left="22"/>
              <w:rPr>
                <w:rFonts w:ascii="Arial" w:hAnsi="Arial" w:cs="Arial"/>
                <w:b/>
                <w:sz w:val="24"/>
                <w:szCs w:val="24"/>
              </w:rPr>
            </w:pPr>
            <w:r w:rsidRPr="00E10945">
              <w:rPr>
                <w:rFonts w:ascii="Arial" w:hAnsi="Arial" w:cs="Arial"/>
                <w:b/>
                <w:sz w:val="24"/>
                <w:szCs w:val="24"/>
              </w:rPr>
              <w:t>L.p.</w:t>
            </w:r>
          </w:p>
        </w:tc>
        <w:tc>
          <w:tcPr>
            <w:tcW w:w="2075" w:type="dxa"/>
            <w:shd w:val="clear" w:color="auto" w:fill="A6A6A6" w:themeFill="background1" w:themeFillShade="A6"/>
            <w:hideMark/>
          </w:tcPr>
          <w:p w14:paraId="2812A6FB" w14:textId="77777777" w:rsidR="00812367" w:rsidRPr="00E10945" w:rsidRDefault="00812367" w:rsidP="006B59F6">
            <w:pPr>
              <w:rPr>
                <w:rFonts w:ascii="Arial" w:hAnsi="Arial" w:cs="Arial"/>
                <w:sz w:val="24"/>
                <w:szCs w:val="24"/>
              </w:rPr>
            </w:pPr>
            <w:r w:rsidRPr="00E10945">
              <w:rPr>
                <w:rFonts w:ascii="Arial" w:hAnsi="Arial" w:cs="Arial"/>
                <w:b/>
                <w:sz w:val="24"/>
                <w:szCs w:val="24"/>
              </w:rPr>
              <w:t>Nazwa kryterium</w:t>
            </w:r>
          </w:p>
        </w:tc>
        <w:tc>
          <w:tcPr>
            <w:tcW w:w="5685" w:type="dxa"/>
            <w:shd w:val="clear" w:color="auto" w:fill="A6A6A6" w:themeFill="background1" w:themeFillShade="A6"/>
            <w:hideMark/>
          </w:tcPr>
          <w:p w14:paraId="6E9CC49C" w14:textId="77777777" w:rsidR="00812367" w:rsidRPr="00E10945" w:rsidRDefault="00812367" w:rsidP="006B59F6">
            <w:pPr>
              <w:rPr>
                <w:rFonts w:ascii="Arial" w:hAnsi="Arial" w:cs="Arial"/>
                <w:b/>
                <w:sz w:val="24"/>
                <w:szCs w:val="24"/>
              </w:rPr>
            </w:pPr>
            <w:r w:rsidRPr="00E10945">
              <w:rPr>
                <w:rFonts w:ascii="Arial" w:hAnsi="Arial" w:cs="Arial"/>
                <w:b/>
                <w:sz w:val="24"/>
                <w:szCs w:val="24"/>
              </w:rPr>
              <w:t>Definicja kryterium</w:t>
            </w:r>
          </w:p>
          <w:p w14:paraId="0F2F7991" w14:textId="77777777" w:rsidR="00812367" w:rsidRPr="00E10945" w:rsidRDefault="00812367" w:rsidP="006B59F6">
            <w:pPr>
              <w:rPr>
                <w:rFonts w:ascii="Arial" w:hAnsi="Arial" w:cs="Arial"/>
                <w:sz w:val="24"/>
                <w:szCs w:val="24"/>
              </w:rPr>
            </w:pPr>
          </w:p>
        </w:tc>
        <w:tc>
          <w:tcPr>
            <w:tcW w:w="2020" w:type="dxa"/>
            <w:shd w:val="clear" w:color="auto" w:fill="A6A6A6" w:themeFill="background1" w:themeFillShade="A6"/>
            <w:hideMark/>
          </w:tcPr>
          <w:p w14:paraId="2B57664D" w14:textId="77777777" w:rsidR="00812367" w:rsidRPr="00E10945" w:rsidRDefault="00812367" w:rsidP="006B59F6">
            <w:pPr>
              <w:rPr>
                <w:rFonts w:ascii="Arial" w:hAnsi="Arial" w:cs="Arial"/>
                <w:b/>
                <w:sz w:val="24"/>
                <w:szCs w:val="24"/>
              </w:rPr>
            </w:pPr>
            <w:r w:rsidRPr="00E10945">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52FC5B68" w14:textId="77777777" w:rsidR="00812367" w:rsidRPr="00E10945" w:rsidRDefault="00812367" w:rsidP="006B59F6">
            <w:pPr>
              <w:rPr>
                <w:rFonts w:ascii="Arial" w:hAnsi="Arial" w:cs="Arial"/>
                <w:b/>
                <w:sz w:val="24"/>
                <w:szCs w:val="24"/>
              </w:rPr>
            </w:pPr>
            <w:r w:rsidRPr="00E10945">
              <w:rPr>
                <w:rFonts w:ascii="Arial" w:hAnsi="Arial" w:cs="Arial"/>
                <w:b/>
                <w:sz w:val="24"/>
                <w:szCs w:val="24"/>
              </w:rPr>
              <w:t>Sposób oceny kryterium</w:t>
            </w:r>
          </w:p>
        </w:tc>
        <w:tc>
          <w:tcPr>
            <w:tcW w:w="1721" w:type="dxa"/>
            <w:shd w:val="clear" w:color="auto" w:fill="A6A6A6" w:themeFill="background1" w:themeFillShade="A6"/>
            <w:hideMark/>
          </w:tcPr>
          <w:p w14:paraId="364B90E7" w14:textId="77777777" w:rsidR="00812367" w:rsidRPr="00E10945" w:rsidRDefault="00812367" w:rsidP="006B59F6">
            <w:pPr>
              <w:rPr>
                <w:rFonts w:ascii="Arial" w:hAnsi="Arial" w:cs="Arial"/>
                <w:b/>
                <w:sz w:val="24"/>
                <w:szCs w:val="24"/>
              </w:rPr>
            </w:pPr>
            <w:bookmarkStart w:id="3" w:name="_Hlk125464591"/>
            <w:r w:rsidRPr="00E10945">
              <w:rPr>
                <w:rFonts w:ascii="Arial" w:hAnsi="Arial" w:cs="Arial"/>
                <w:b/>
                <w:sz w:val="24"/>
                <w:szCs w:val="24"/>
              </w:rPr>
              <w:t>Szczególne znaczenie kryterium</w:t>
            </w:r>
            <w:bookmarkEnd w:id="3"/>
          </w:p>
        </w:tc>
      </w:tr>
      <w:tr w:rsidR="00812367" w:rsidRPr="00E10945" w14:paraId="042FECC3" w14:textId="77777777" w:rsidTr="006B59F6">
        <w:trPr>
          <w:trHeight w:val="300"/>
        </w:trPr>
        <w:tc>
          <w:tcPr>
            <w:tcW w:w="988" w:type="dxa"/>
            <w:hideMark/>
          </w:tcPr>
          <w:p w14:paraId="62544809"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565C5E2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Terminowość złożenia uzupełnienia wniosku </w:t>
            </w:r>
          </w:p>
        </w:tc>
        <w:tc>
          <w:tcPr>
            <w:tcW w:w="5685" w:type="dxa"/>
            <w:hideMark/>
          </w:tcPr>
          <w:p w14:paraId="3095ED8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uzupełnienie wniosku złożono w terminie wskazanym w wezwaniu. </w:t>
            </w:r>
          </w:p>
        </w:tc>
        <w:tc>
          <w:tcPr>
            <w:tcW w:w="2020" w:type="dxa"/>
            <w:hideMark/>
          </w:tcPr>
          <w:p w14:paraId="02C6B76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Tak </w:t>
            </w:r>
          </w:p>
          <w:p w14:paraId="1C75BB7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podlega uzupełnieniu </w:t>
            </w:r>
          </w:p>
        </w:tc>
        <w:tc>
          <w:tcPr>
            <w:tcW w:w="1560" w:type="dxa"/>
            <w:hideMark/>
          </w:tcPr>
          <w:p w14:paraId="6BA572B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452DAC1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Dotyczy etapu uzupełnienia dokumentacji </w:t>
            </w:r>
          </w:p>
        </w:tc>
      </w:tr>
      <w:tr w:rsidR="00812367" w:rsidRPr="00E10945" w14:paraId="4E222EC1" w14:textId="77777777" w:rsidTr="006B59F6">
        <w:trPr>
          <w:trHeight w:val="300"/>
        </w:trPr>
        <w:tc>
          <w:tcPr>
            <w:tcW w:w="988" w:type="dxa"/>
            <w:hideMark/>
          </w:tcPr>
          <w:p w14:paraId="3D9AB8BA"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73AD80C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Poprawność formalna wniosku o dofinansowanie i załączników </w:t>
            </w:r>
          </w:p>
        </w:tc>
        <w:tc>
          <w:tcPr>
            <w:tcW w:w="5685" w:type="dxa"/>
            <w:hideMark/>
          </w:tcPr>
          <w:p w14:paraId="6232178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ramach kryterium weryfikowane będzie: </w:t>
            </w:r>
          </w:p>
          <w:p w14:paraId="36BD6997"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1B888DA4"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wniosek nie zawiera błędów rachunkowych/omyłek pisarskich?  </w:t>
            </w:r>
          </w:p>
          <w:p w14:paraId="60AE8080"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wniosek zawiera wszystkie informacje na temat projektu niezbędne do oceny kryteriów w tym wymagane analizy wskazane w instrukcji wypełniania wniosku? Czy informacje są spójne? </w:t>
            </w:r>
          </w:p>
          <w:p w14:paraId="2184A9FC"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Czy załączniki wymagane regulaminem wyboru projektów zostały dołączone? </w:t>
            </w:r>
          </w:p>
          <w:p w14:paraId="7979E935"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ww. załączniki są możliwe do odczytania/otwarcia? </w:t>
            </w:r>
          </w:p>
          <w:p w14:paraId="54F48D17" w14:textId="77777777" w:rsidR="00812367" w:rsidRPr="00E10945" w:rsidRDefault="00812367" w:rsidP="006B59F6">
            <w:pPr>
              <w:numPr>
                <w:ilvl w:val="0"/>
                <w:numId w:val="2"/>
              </w:numPr>
              <w:spacing w:before="100" w:beforeAutospacing="1" w:after="100" w:afterAutospacing="1" w:line="276" w:lineRule="auto"/>
              <w:ind w:left="66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ww. załączniki są wypełnione poprawnie, czytelnie? </w:t>
            </w:r>
          </w:p>
        </w:tc>
        <w:tc>
          <w:tcPr>
            <w:tcW w:w="2020" w:type="dxa"/>
            <w:hideMark/>
          </w:tcPr>
          <w:p w14:paraId="44D5887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4EE21B2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53383E5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2FBBAE8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5B71B130" w14:textId="77777777" w:rsidTr="006B59F6">
        <w:trPr>
          <w:trHeight w:val="300"/>
        </w:trPr>
        <w:tc>
          <w:tcPr>
            <w:tcW w:w="988" w:type="dxa"/>
            <w:hideMark/>
          </w:tcPr>
          <w:p w14:paraId="10687C2E"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1370B0E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Kwalifikowalność podmiotowa </w:t>
            </w:r>
          </w:p>
        </w:tc>
        <w:tc>
          <w:tcPr>
            <w:tcW w:w="5685" w:type="dxa"/>
            <w:hideMark/>
          </w:tcPr>
          <w:p w14:paraId="6540411F"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ramach kryterium weryfikowane będzie: </w:t>
            </w:r>
          </w:p>
          <w:p w14:paraId="6D0F37F9" w14:textId="77777777" w:rsidR="00812367" w:rsidRPr="00E10945" w:rsidRDefault="00812367" w:rsidP="006B59F6">
            <w:pPr>
              <w:numPr>
                <w:ilvl w:val="0"/>
                <w:numId w:val="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wpisuje się w katalog beneficjentów przewidzianych w regulaminie wyboru projektów? </w:t>
            </w:r>
          </w:p>
          <w:p w14:paraId="7BE33301" w14:textId="77777777" w:rsidR="00812367" w:rsidRPr="00E10945" w:rsidRDefault="00812367" w:rsidP="006B59F6">
            <w:pPr>
              <w:numPr>
                <w:ilvl w:val="0"/>
                <w:numId w:val="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wszyscy partnerzy (jeśli występują) wpisują się w katalog beneficjentów przewidzianych w regulaminie wyboru projektów (nie dotyczy ppp)? </w:t>
            </w:r>
          </w:p>
          <w:p w14:paraId="5628AEC3" w14:textId="77777777" w:rsidR="00812367" w:rsidRPr="00E10945" w:rsidRDefault="00812367" w:rsidP="006B59F6">
            <w:pPr>
              <w:numPr>
                <w:ilvl w:val="0"/>
                <w:numId w:val="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oraz partnerzy nie zostali wykluczeni z możliwości aplikowania na podstawie odrębnych przepisów prawa (np. firmy współpracujące z Rosją)? </w:t>
            </w:r>
          </w:p>
          <w:p w14:paraId="71C5635A" w14:textId="77777777" w:rsidR="00812367" w:rsidRPr="00E10945" w:rsidRDefault="00812367" w:rsidP="006B59F6">
            <w:pPr>
              <w:numPr>
                <w:ilvl w:val="0"/>
                <w:numId w:val="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3C815ED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TAK </w:t>
            </w:r>
          </w:p>
          <w:p w14:paraId="4A2054B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555EDEE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339AF9E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4A39B011" w14:textId="77777777" w:rsidTr="006B59F6">
        <w:trPr>
          <w:trHeight w:val="300"/>
        </w:trPr>
        <w:tc>
          <w:tcPr>
            <w:tcW w:w="988" w:type="dxa"/>
            <w:hideMark/>
          </w:tcPr>
          <w:p w14:paraId="33A766F7"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3825D41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Kwalifikowalność przedmiotowa projektu </w:t>
            </w:r>
          </w:p>
        </w:tc>
        <w:tc>
          <w:tcPr>
            <w:tcW w:w="5685" w:type="dxa"/>
            <w:hideMark/>
          </w:tcPr>
          <w:p w14:paraId="1E475A3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ramach kryterium weryfikowane będzie: </w:t>
            </w:r>
          </w:p>
          <w:p w14:paraId="325BD4BB" w14:textId="77777777" w:rsidR="00812367" w:rsidRPr="00E10945" w:rsidRDefault="00812367" w:rsidP="006B59F6">
            <w:pPr>
              <w:numPr>
                <w:ilvl w:val="0"/>
                <w:numId w:val="4"/>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07FCD5FD" w14:textId="77777777" w:rsidR="00812367" w:rsidRPr="00E10945" w:rsidRDefault="00812367" w:rsidP="006B59F6">
            <w:pPr>
              <w:numPr>
                <w:ilvl w:val="0"/>
                <w:numId w:val="4"/>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09AA0C67" w14:textId="77777777" w:rsidR="00812367" w:rsidRPr="00E10945" w:rsidRDefault="00812367" w:rsidP="006B59F6">
            <w:pPr>
              <w:numPr>
                <w:ilvl w:val="0"/>
                <w:numId w:val="4"/>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5BAA7574" w14:textId="77777777" w:rsidR="00812367" w:rsidRPr="00E10945" w:rsidRDefault="00812367" w:rsidP="006B59F6">
            <w:pPr>
              <w:numPr>
                <w:ilvl w:val="0"/>
                <w:numId w:val="4"/>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nie został zakończony/lub w pełni wdrożony przed złożeniem wniosku o dofinansowanie? </w:t>
            </w:r>
          </w:p>
          <w:p w14:paraId="3568B929" w14:textId="77777777" w:rsidR="00812367" w:rsidRPr="00E10945" w:rsidRDefault="00812367" w:rsidP="006B59F6">
            <w:pPr>
              <w:numPr>
                <w:ilvl w:val="0"/>
                <w:numId w:val="4"/>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założenia projektu są zgodne z warunkami/wymogami konkursu zawartymi w regulaminie wyboru projektów? </w:t>
            </w:r>
          </w:p>
          <w:p w14:paraId="0D942174" w14:textId="77777777" w:rsidR="00812367" w:rsidRPr="00E10945" w:rsidRDefault="00812367" w:rsidP="006B59F6">
            <w:pPr>
              <w:numPr>
                <w:ilvl w:val="0"/>
                <w:numId w:val="4"/>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6D42487" w14:textId="77777777" w:rsidR="00812367" w:rsidRPr="00E10945" w:rsidRDefault="00812367" w:rsidP="006B59F6">
            <w:pPr>
              <w:numPr>
                <w:ilvl w:val="0"/>
                <w:numId w:val="4"/>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jest zgodny z Lokalną Strategią Rozwoju - jeśli dotyczy </w:t>
            </w:r>
          </w:p>
        </w:tc>
        <w:tc>
          <w:tcPr>
            <w:tcW w:w="2020" w:type="dxa"/>
            <w:hideMark/>
          </w:tcPr>
          <w:p w14:paraId="138A0A2A"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31B4ACC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7B55E92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29DE24E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0BE853EE" w14:textId="77777777" w:rsidTr="006B59F6">
        <w:trPr>
          <w:trHeight w:val="300"/>
        </w:trPr>
        <w:tc>
          <w:tcPr>
            <w:tcW w:w="988" w:type="dxa"/>
            <w:hideMark/>
          </w:tcPr>
          <w:p w14:paraId="22245E56"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6843BAC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Zgodność projektu z zasadami pomocy publicznej lub pomocy de minimis </w:t>
            </w:r>
          </w:p>
        </w:tc>
        <w:tc>
          <w:tcPr>
            <w:tcW w:w="5685" w:type="dxa"/>
            <w:hideMark/>
          </w:tcPr>
          <w:p w14:paraId="0960F3E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 ramach projektu weryfikowane będzie: </w:t>
            </w:r>
          </w:p>
          <w:p w14:paraId="6778D02F" w14:textId="77777777" w:rsidR="00812367" w:rsidRPr="00E10945" w:rsidRDefault="00812367" w:rsidP="006B59F6">
            <w:pPr>
              <w:numPr>
                <w:ilvl w:val="0"/>
                <w:numId w:val="8"/>
              </w:numPr>
              <w:spacing w:before="100" w:beforeAutospacing="1" w:after="100" w:afterAutospacing="1" w:line="276" w:lineRule="auto"/>
              <w:ind w:left="885"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wnioskodawca dokonał w sposób właściwy analizy projektu pod kątem przesłanek wynikających z art. 107 ust. 1 TFUE? </w:t>
            </w:r>
          </w:p>
          <w:p w14:paraId="20D785ED" w14:textId="77777777" w:rsidR="00812367" w:rsidRPr="00E10945" w:rsidRDefault="00812367" w:rsidP="006B59F6">
            <w:pPr>
              <w:numPr>
                <w:ilvl w:val="0"/>
                <w:numId w:val="8"/>
              </w:numPr>
              <w:spacing w:before="100" w:beforeAutospacing="1" w:after="100" w:afterAutospacing="1" w:line="276" w:lineRule="auto"/>
              <w:ind w:left="885"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07398954"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4555FFC8"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lastRenderedPageBreak/>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F427234"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0323E081"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E10945">
              <w:rPr>
                <w:rFonts w:ascii="Arial" w:eastAsia="Times New Roman" w:hAnsi="Arial" w:cs="Arial"/>
                <w:sz w:val="24"/>
                <w:szCs w:val="24"/>
                <w:lang w:eastAsia="pl-PL"/>
              </w:rPr>
              <w:t>wyliczeniami/? </w:t>
            </w:r>
          </w:p>
          <w:p w14:paraId="12685D67"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wkład własny wolny jest od innego wsparcia publicznego (jeśli dotyczy)? </w:t>
            </w:r>
          </w:p>
          <w:p w14:paraId="48D3F629"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lastRenderedPageBreak/>
              <w:t>Czy montaż finansowy spełnia zasady kumulacji pomocy? </w:t>
            </w:r>
          </w:p>
          <w:p w14:paraId="06976727"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Wnioskodawca wykazał spełnienie innych (jeśli występują) warunków wynikających z danej podstawy prawnej? </w:t>
            </w:r>
          </w:p>
          <w:p w14:paraId="795CF7FD"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7EA2A748"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Wnioskodawca dołączył Zaświadczenie/oświadczenie dotyczące pomocy de minimis (jeśli dotyczy) </w:t>
            </w:r>
          </w:p>
          <w:p w14:paraId="40F87775" w14:textId="77777777" w:rsidR="00812367" w:rsidRPr="00E10945" w:rsidRDefault="00812367" w:rsidP="006B59F6">
            <w:pPr>
              <w:numPr>
                <w:ilvl w:val="0"/>
                <w:numId w:val="8"/>
              </w:numPr>
              <w:spacing w:before="100" w:beforeAutospacing="1" w:after="100" w:afterAutospacing="1" w:line="276" w:lineRule="auto"/>
              <w:ind w:left="1020"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70B988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32E812E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0C2A95F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58C8015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0939ECD9" w14:textId="77777777" w:rsidTr="006B59F6">
        <w:trPr>
          <w:trHeight w:val="300"/>
        </w:trPr>
        <w:tc>
          <w:tcPr>
            <w:tcW w:w="988" w:type="dxa"/>
            <w:hideMark/>
          </w:tcPr>
          <w:p w14:paraId="6AE88575"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7554DBF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Poprawność określenia działań informacyjno - promocyjnych w projekcie </w:t>
            </w:r>
          </w:p>
          <w:p w14:paraId="5387029F"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w:t>
            </w:r>
          </w:p>
        </w:tc>
        <w:tc>
          <w:tcPr>
            <w:tcW w:w="5685" w:type="dxa"/>
            <w:hideMark/>
          </w:tcPr>
          <w:p w14:paraId="7D7C65A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ramach kryterium weryfikowane będzie: </w:t>
            </w:r>
          </w:p>
          <w:p w14:paraId="285493F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Czy działania informacyjno- promocyjne są zgodne z zaleceniami/zasadami w tym zakresie, w szczególności z zasadami wskazanymi w art. 50 rozporządzenia 2021/1060? </w:t>
            </w:r>
          </w:p>
          <w:p w14:paraId="4FBDD5A1" w14:textId="77777777" w:rsidR="00812367" w:rsidRPr="00E10945" w:rsidRDefault="00812367" w:rsidP="006B59F6">
            <w:pPr>
              <w:rPr>
                <w:rFonts w:ascii="Arial" w:eastAsia="Arial" w:hAnsi="Arial" w:cs="Arial"/>
                <w:color w:val="000000" w:themeColor="text1"/>
                <w:sz w:val="24"/>
                <w:szCs w:val="24"/>
              </w:rPr>
            </w:pPr>
            <w:r w:rsidRPr="00E10945">
              <w:rPr>
                <w:rFonts w:ascii="Arial" w:eastAsia="Arial" w:hAnsi="Arial" w:cs="Arial"/>
                <w:color w:val="000000" w:themeColor="text1"/>
                <w:sz w:val="24"/>
                <w:szCs w:val="24"/>
              </w:rPr>
              <w:t xml:space="preserve">Czy beneficjent we wniosku wskazał: </w:t>
            </w:r>
          </w:p>
          <w:p w14:paraId="40B96C56" w14:textId="77777777" w:rsidR="00812367" w:rsidRPr="00E10945" w:rsidRDefault="00812367" w:rsidP="006B59F6">
            <w:pPr>
              <w:pStyle w:val="Akapitzlist"/>
              <w:numPr>
                <w:ilvl w:val="0"/>
                <w:numId w:val="1"/>
              </w:numPr>
              <w:rPr>
                <w:rFonts w:ascii="Arial" w:eastAsia="Arial" w:hAnsi="Arial" w:cs="Arial"/>
                <w:color w:val="000000" w:themeColor="text1"/>
                <w:sz w:val="24"/>
                <w:szCs w:val="24"/>
              </w:rPr>
            </w:pPr>
            <w:r w:rsidRPr="00E10945">
              <w:rPr>
                <w:rFonts w:ascii="Arial" w:eastAsia="Arial" w:hAnsi="Arial" w:cs="Arial"/>
                <w:color w:val="000000" w:themeColor="text1"/>
                <w:sz w:val="24"/>
                <w:szCs w:val="24"/>
              </w:rPr>
              <w:lastRenderedPageBreak/>
              <w:t>nietechniczny tytuł projektu,</w:t>
            </w:r>
          </w:p>
          <w:p w14:paraId="247DF9D5" w14:textId="77777777" w:rsidR="00812367" w:rsidRPr="00E10945" w:rsidRDefault="00812367" w:rsidP="006B59F6">
            <w:pPr>
              <w:pStyle w:val="Akapitzlist"/>
              <w:numPr>
                <w:ilvl w:val="0"/>
                <w:numId w:val="1"/>
              </w:numPr>
              <w:rPr>
                <w:rFonts w:ascii="Arial" w:eastAsia="Arial" w:hAnsi="Arial" w:cs="Arial"/>
                <w:color w:val="000000" w:themeColor="text1"/>
                <w:sz w:val="24"/>
                <w:szCs w:val="24"/>
              </w:rPr>
            </w:pPr>
            <w:r w:rsidRPr="00E10945">
              <w:rPr>
                <w:rFonts w:ascii="Arial" w:eastAsia="Arial" w:hAnsi="Arial" w:cs="Arial"/>
                <w:color w:val="000000" w:themeColor="text1"/>
                <w:sz w:val="24"/>
                <w:szCs w:val="24"/>
              </w:rPr>
              <w:t>streszczenie działań promocyjnych projektu,</w:t>
            </w:r>
          </w:p>
          <w:p w14:paraId="0FE62B03" w14:textId="77777777" w:rsidR="00812367" w:rsidRPr="00E10945" w:rsidRDefault="00812367" w:rsidP="006B59F6">
            <w:pPr>
              <w:pStyle w:val="Akapitzlist"/>
              <w:numPr>
                <w:ilvl w:val="0"/>
                <w:numId w:val="1"/>
              </w:numPr>
              <w:rPr>
                <w:rFonts w:ascii="Arial" w:eastAsia="Arial" w:hAnsi="Arial" w:cs="Arial"/>
                <w:color w:val="000000" w:themeColor="text1"/>
                <w:sz w:val="24"/>
                <w:szCs w:val="24"/>
              </w:rPr>
            </w:pPr>
            <w:r w:rsidRPr="00E10945">
              <w:rPr>
                <w:rFonts w:ascii="Arial" w:eastAsia="Arial" w:hAnsi="Arial" w:cs="Arial"/>
                <w:color w:val="000000" w:themeColor="text1"/>
                <w:sz w:val="24"/>
                <w:szCs w:val="24"/>
              </w:rPr>
              <w:t>adres strony internetowej/profilu mediów społecznościowych, na których projekt będzie promowany?</w:t>
            </w:r>
          </w:p>
        </w:tc>
        <w:tc>
          <w:tcPr>
            <w:tcW w:w="2020" w:type="dxa"/>
            <w:hideMark/>
          </w:tcPr>
          <w:p w14:paraId="0C0CC24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6085A30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01CC858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1E2B968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59BCDA09" w14:textId="77777777" w:rsidTr="006B59F6">
        <w:trPr>
          <w:trHeight w:val="300"/>
        </w:trPr>
        <w:tc>
          <w:tcPr>
            <w:tcW w:w="988" w:type="dxa"/>
            <w:hideMark/>
          </w:tcPr>
          <w:p w14:paraId="0E3FEF5E"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45CE94E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2133651F" w14:textId="77777777" w:rsidR="00812367" w:rsidRPr="00E10945" w:rsidRDefault="00812367" w:rsidP="006B59F6">
            <w:pPr>
              <w:rPr>
                <w:rFonts w:ascii="Arial" w:eastAsia="Times New Roman" w:hAnsi="Arial" w:cs="Arial"/>
                <w:sz w:val="24"/>
                <w:szCs w:val="24"/>
                <w:lang w:eastAsia="pl-PL"/>
              </w:rPr>
            </w:pPr>
            <w:r w:rsidRPr="00E10945">
              <w:rPr>
                <w:rFonts w:ascii="Arial" w:eastAsia="Arial" w:hAnsi="Arial" w:cs="Arial"/>
                <w:sz w:val="24"/>
                <w:szCs w:val="24"/>
              </w:rPr>
              <w:t xml:space="preserve"> W ramach kryterium weryfikowane będzie:</w:t>
            </w:r>
          </w:p>
          <w:p w14:paraId="4BBB0BC3" w14:textId="77777777" w:rsidR="00812367" w:rsidRPr="00E10945" w:rsidRDefault="00812367" w:rsidP="006B59F6">
            <w:pPr>
              <w:rPr>
                <w:rFonts w:ascii="Arial" w:hAnsi="Arial" w:cs="Arial"/>
                <w:sz w:val="24"/>
                <w:szCs w:val="24"/>
              </w:rPr>
            </w:pPr>
            <w:r w:rsidRPr="00E10945">
              <w:rPr>
                <w:rFonts w:ascii="Arial" w:eastAsia="Arial" w:hAnsi="Arial" w:cs="Arial"/>
                <w:sz w:val="24"/>
                <w:szCs w:val="24"/>
              </w:rPr>
              <w:t>•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1BF05D7" w14:textId="77777777" w:rsidR="00812367" w:rsidRPr="00E10945" w:rsidRDefault="00812367" w:rsidP="006B59F6">
            <w:pPr>
              <w:rPr>
                <w:rFonts w:ascii="Arial" w:hAnsi="Arial" w:cs="Arial"/>
                <w:sz w:val="24"/>
                <w:szCs w:val="24"/>
              </w:rPr>
            </w:pPr>
            <w:r w:rsidRPr="00E10945">
              <w:rPr>
                <w:rFonts w:ascii="Arial" w:eastAsia="Arial" w:hAnsi="Arial" w:cs="Arial"/>
                <w:sz w:val="24"/>
                <w:szCs w:val="24"/>
              </w:rPr>
              <w:t xml:space="preserve">• czy projekt jest zgodny z zasadą “nie czyń poważnych szkód”, tj.  czy nie będzie wyrządzał poważnych szkód dla żadnego z celów środowiskowych, określonych w art. 17 Rozporządzenia Parlamentu Europejskiego i Rady </w:t>
            </w:r>
            <w:r w:rsidRPr="00E10945">
              <w:rPr>
                <w:rFonts w:ascii="Arial" w:eastAsia="Arial" w:hAnsi="Arial" w:cs="Arial"/>
                <w:sz w:val="24"/>
                <w:szCs w:val="24"/>
              </w:rPr>
              <w:lastRenderedPageBreak/>
              <w:t>(UE)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784FE650" w14:textId="77777777" w:rsidR="00812367" w:rsidRPr="00E10945" w:rsidRDefault="00812367" w:rsidP="006B59F6">
            <w:pPr>
              <w:rPr>
                <w:rFonts w:ascii="Arial" w:hAnsi="Arial" w:cs="Arial"/>
                <w:sz w:val="24"/>
                <w:szCs w:val="24"/>
              </w:rPr>
            </w:pPr>
            <w:r w:rsidRPr="00E10945">
              <w:rPr>
                <w:rFonts w:ascii="Arial" w:eastAsia="Arial" w:hAnsi="Arial" w:cs="Arial"/>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E10945">
              <w:rPr>
                <w:rFonts w:ascii="Arial" w:eastAsia="Arial" w:hAnsi="Arial" w:cs="Arial"/>
                <w:sz w:val="24"/>
                <w:szCs w:val="24"/>
              </w:rPr>
              <w:lastRenderedPageBreak/>
              <w:t>obowiązki nakładane w ramach przedmiotowych zezwoleń.</w:t>
            </w:r>
          </w:p>
        </w:tc>
        <w:tc>
          <w:tcPr>
            <w:tcW w:w="2020" w:type="dxa"/>
            <w:hideMark/>
          </w:tcPr>
          <w:p w14:paraId="2C4389C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3609040A"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12ECB35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1DA839C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5581D426" w14:textId="77777777" w:rsidTr="006B59F6">
        <w:trPr>
          <w:trHeight w:val="300"/>
        </w:trPr>
        <w:tc>
          <w:tcPr>
            <w:tcW w:w="988" w:type="dxa"/>
            <w:hideMark/>
          </w:tcPr>
          <w:p w14:paraId="3D057033"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14AE21B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Odporność infrastruktury na zmiany klimatu </w:t>
            </w:r>
          </w:p>
        </w:tc>
        <w:tc>
          <w:tcPr>
            <w:tcW w:w="5685" w:type="dxa"/>
            <w:hideMark/>
          </w:tcPr>
          <w:p w14:paraId="774FD3A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E10945">
              <w:rPr>
                <w:rFonts w:ascii="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E10945">
              <w:rPr>
                <w:rFonts w:ascii="Arial" w:eastAsia="Times New Roman" w:hAnsi="Arial" w:cs="Arial"/>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4C78732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3E6A12B"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01C1CE1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030BBED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74A5155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7C2FEC1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5FAED367" w14:textId="77777777" w:rsidTr="006B59F6">
        <w:trPr>
          <w:trHeight w:val="300"/>
        </w:trPr>
        <w:tc>
          <w:tcPr>
            <w:tcW w:w="988" w:type="dxa"/>
            <w:hideMark/>
          </w:tcPr>
          <w:p w14:paraId="70B497E2"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5B33B06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Zgodność projektu z zasadą „zanieczyszczający płaci" </w:t>
            </w:r>
          </w:p>
        </w:tc>
        <w:tc>
          <w:tcPr>
            <w:tcW w:w="5685" w:type="dxa"/>
            <w:hideMark/>
          </w:tcPr>
          <w:p w14:paraId="6902A665"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25B66821"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61C581FE" w14:textId="77777777" w:rsidR="00812367" w:rsidRPr="00E10945" w:rsidRDefault="00812367" w:rsidP="006B59F6">
            <w:pPr>
              <w:numPr>
                <w:ilvl w:val="0"/>
                <w:numId w:val="5"/>
              </w:numPr>
              <w:spacing w:before="100" w:beforeAutospacing="1" w:after="100" w:afterAutospacing="1" w:line="276" w:lineRule="auto"/>
              <w:ind w:left="1080" w:firstLine="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lastRenderedPageBreak/>
              <w:t>nie było możliwe ustalenie podmiotu, który spowodował „zanieczyszczenie”, </w:t>
            </w:r>
          </w:p>
          <w:p w14:paraId="7118DC77" w14:textId="77777777" w:rsidR="00812367" w:rsidRPr="00E10945" w:rsidRDefault="00812367" w:rsidP="006B59F6">
            <w:pPr>
              <w:numPr>
                <w:ilvl w:val="0"/>
                <w:numId w:val="5"/>
              </w:numPr>
              <w:spacing w:before="100" w:beforeAutospacing="1" w:after="100" w:afterAutospacing="1" w:line="276" w:lineRule="auto"/>
              <w:ind w:left="1080" w:firstLine="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1CEB059" w14:textId="77777777" w:rsidR="00812367" w:rsidRPr="00E10945" w:rsidRDefault="00812367" w:rsidP="006B59F6">
            <w:pPr>
              <w:numPr>
                <w:ilvl w:val="0"/>
                <w:numId w:val="5"/>
              </w:numPr>
              <w:spacing w:before="100" w:beforeAutospacing="1" w:after="100" w:afterAutospacing="1" w:line="276" w:lineRule="auto"/>
              <w:ind w:left="1080" w:firstLine="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51502E8E"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b/>
                <w:bCs/>
                <w:color w:val="000000"/>
                <w:sz w:val="24"/>
                <w:szCs w:val="24"/>
                <w:lang w:eastAsia="pl-PL"/>
              </w:rPr>
              <w:t>Sposób weryfikacji [0/1]: </w:t>
            </w:r>
          </w:p>
          <w:p w14:paraId="0C16F0D4"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Wnioskodawca jest organem administracji publicznej, który jest właścicielem obszaru/terenu objętego projektem lub posiada władztwo tego terenu - 1 (kryterium spełnione), </w:t>
            </w:r>
          </w:p>
          <w:p w14:paraId="6721B66D"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 xml:space="preserve">Wnioskodawca niebędący organem administracji publicznej przedstawił dokumenty świadczące o wyczerpaniu wszelkich środków prawnych (odwołania, rekompensaty, wyroki sądowe) </w:t>
            </w:r>
            <w:r w:rsidRPr="00E10945">
              <w:rPr>
                <w:rFonts w:ascii="Arial" w:eastAsia="Times New Roman" w:hAnsi="Arial" w:cs="Arial"/>
                <w:color w:val="000000"/>
                <w:sz w:val="24"/>
                <w:szCs w:val="24"/>
                <w:lang w:eastAsia="pl-PL"/>
              </w:rPr>
              <w:lastRenderedPageBreak/>
              <w:t>związanych z wystąpieniem o zadośćuczynienie szkody w środowisku lub likwidacji zanieczyszczenia (np. wystąpiono do zakładu górniczego lub SRK o naprawę szkody). </w:t>
            </w:r>
          </w:p>
          <w:p w14:paraId="13606365"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73D1CD77"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52C43BC6"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lub </w:t>
            </w:r>
          </w:p>
          <w:p w14:paraId="4D360A59"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w:t>
            </w:r>
            <w:r w:rsidRPr="00E10945">
              <w:rPr>
                <w:rFonts w:ascii="Arial" w:eastAsia="Times New Roman" w:hAnsi="Arial" w:cs="Arial"/>
                <w:color w:val="000000"/>
                <w:sz w:val="24"/>
                <w:szCs w:val="24"/>
                <w:lang w:eastAsia="pl-PL"/>
              </w:rPr>
              <w:lastRenderedPageBreak/>
              <w:t>„zanieczyszczający” oraz, że wsparcie środkami FE SL jest możliwe i uzasadnione.  </w:t>
            </w:r>
          </w:p>
          <w:p w14:paraId="2D37D5FE"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52194D0F" w14:textId="77777777" w:rsidR="00812367" w:rsidRPr="00E10945" w:rsidRDefault="00812367" w:rsidP="006B59F6">
            <w:pPr>
              <w:spacing w:before="100" w:beforeAutospacing="1" w:after="100" w:afterAutospacing="1"/>
              <w:ind w:left="36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themeColor="text1"/>
                <w:sz w:val="24"/>
                <w:szCs w:val="24"/>
                <w:lang w:eastAsia="pl-PL"/>
              </w:rPr>
              <w:t>lub </w:t>
            </w:r>
          </w:p>
          <w:p w14:paraId="2FAE25D9"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W odniesieniu do gruntów leśnych i rolnych (ust. z dnia 3 lutego 1995 r. o ochronie gruntów rolnych i leśnych) – na podstawie dokumentów uzyskanych od właściwego miejscowo Starosty powiatowego: </w:t>
            </w:r>
          </w:p>
          <w:p w14:paraId="46EEB0CD" w14:textId="77777777" w:rsidR="00812367" w:rsidRPr="00E10945" w:rsidRDefault="00812367" w:rsidP="006B59F6">
            <w:pPr>
              <w:numPr>
                <w:ilvl w:val="0"/>
                <w:numId w:val="6"/>
              </w:numPr>
              <w:spacing w:before="100" w:beforeAutospacing="1" w:after="100" w:afterAutospacing="1" w:line="276" w:lineRule="auto"/>
              <w:ind w:left="1080" w:firstLine="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decyzji o zakończeniu rekultywacji </w:t>
            </w:r>
          </w:p>
          <w:p w14:paraId="4E018070" w14:textId="77777777" w:rsidR="00812367" w:rsidRPr="00E10945" w:rsidRDefault="00812367" w:rsidP="006B59F6">
            <w:pPr>
              <w:spacing w:before="100" w:beforeAutospacing="1" w:after="100" w:afterAutospacing="1"/>
              <w:ind w:left="36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lub </w:t>
            </w:r>
          </w:p>
          <w:p w14:paraId="2AA92BF8" w14:textId="77777777" w:rsidR="00812367" w:rsidRPr="00E10945" w:rsidRDefault="00812367" w:rsidP="006B59F6">
            <w:pPr>
              <w:numPr>
                <w:ilvl w:val="0"/>
                <w:numId w:val="7"/>
              </w:numPr>
              <w:spacing w:before="100" w:beforeAutospacing="1" w:after="100" w:afterAutospacing="1" w:line="276" w:lineRule="auto"/>
              <w:ind w:left="1080" w:firstLine="0"/>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zaświadczenia – stanowiącego, że grunty (obszar/teren) nie były objęte koniecznością przeprowadzenia rekultywacji </w:t>
            </w:r>
          </w:p>
          <w:p w14:paraId="3708966C" w14:textId="77777777" w:rsidR="00812367" w:rsidRPr="00E10945" w:rsidRDefault="00812367" w:rsidP="006B59F6">
            <w:pPr>
              <w:spacing w:before="100" w:beforeAutospacing="1" w:after="100" w:afterAutospacing="1"/>
              <w:textAlignment w:val="baseline"/>
              <w:rPr>
                <w:rFonts w:ascii="Arial" w:eastAsia="Times New Roman" w:hAnsi="Arial" w:cs="Arial"/>
                <w:color w:val="000000"/>
                <w:sz w:val="24"/>
                <w:szCs w:val="24"/>
                <w:lang w:eastAsia="pl-PL"/>
              </w:rPr>
            </w:pPr>
            <w:r w:rsidRPr="00E10945">
              <w:rPr>
                <w:rFonts w:ascii="Arial" w:eastAsia="Times New Roman" w:hAnsi="Arial" w:cs="Arial"/>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w:t>
            </w:r>
            <w:r w:rsidRPr="00E10945">
              <w:rPr>
                <w:rFonts w:ascii="Arial" w:eastAsia="Times New Roman" w:hAnsi="Arial" w:cs="Arial"/>
                <w:color w:val="000000"/>
                <w:sz w:val="24"/>
                <w:szCs w:val="24"/>
                <w:lang w:eastAsia="pl-PL"/>
              </w:rPr>
              <w:lastRenderedPageBreak/>
              <w:t>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5F7F721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3748D9C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00D7D06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7262FE3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5ABEAAE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1224E415" w14:textId="77777777" w:rsidTr="006B59F6">
        <w:trPr>
          <w:trHeight w:val="300"/>
        </w:trPr>
        <w:tc>
          <w:tcPr>
            <w:tcW w:w="988" w:type="dxa"/>
            <w:hideMark/>
          </w:tcPr>
          <w:p w14:paraId="50F109CF"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4A12198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Zgodność projektu z zasadą równości kobiet i mężczyzn </w:t>
            </w:r>
          </w:p>
        </w:tc>
        <w:tc>
          <w:tcPr>
            <w:tcW w:w="5685" w:type="dxa"/>
            <w:hideMark/>
          </w:tcPr>
          <w:p w14:paraId="336AF76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Przez zgodność z zasadą równości kobiet i mężczyzn należy rozumieć pozytywny lub neutralny wpływ projektu na tę zasadę. </w:t>
            </w:r>
          </w:p>
          <w:p w14:paraId="29A2520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331E36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w:t>
            </w:r>
            <w:r w:rsidRPr="00E10945">
              <w:rPr>
                <w:rFonts w:ascii="Arial" w:eastAsia="Times New Roman" w:hAnsi="Arial" w:cs="Arial"/>
                <w:sz w:val="24"/>
                <w:szCs w:val="24"/>
                <w:lang w:eastAsia="pl-PL"/>
              </w:rPr>
              <w:lastRenderedPageBreak/>
              <w:t>uzasadnienie to zostanie uznane przez instytucję oceniającą projekt za adekwatne i wystarczające. </w:t>
            </w:r>
          </w:p>
          <w:p w14:paraId="3BEDF93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przypadku negatywnego wpływu na realizację zasady równości kobiet i mężczyzn kryterium zostanie uznane za niespełnione. </w:t>
            </w:r>
          </w:p>
          <w:p w14:paraId="337E135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06B9979A"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18F9A6FF"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3C88330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501A0B0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23B1AE6E" w14:textId="77777777" w:rsidTr="006B59F6">
        <w:trPr>
          <w:trHeight w:val="300"/>
        </w:trPr>
        <w:tc>
          <w:tcPr>
            <w:tcW w:w="988" w:type="dxa"/>
            <w:hideMark/>
          </w:tcPr>
          <w:p w14:paraId="2C4EAE61"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6184944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Zgodność projektu z zasadą równości szans i niedyskryminacji, w tym dostępności dla osób z niepełnosprawnościami </w:t>
            </w:r>
          </w:p>
        </w:tc>
        <w:tc>
          <w:tcPr>
            <w:tcW w:w="5685" w:type="dxa"/>
            <w:hideMark/>
          </w:tcPr>
          <w:p w14:paraId="36396E37" w14:textId="77777777" w:rsidR="00812367" w:rsidRPr="00E10945" w:rsidRDefault="00812367" w:rsidP="006B59F6">
            <w:pPr>
              <w:spacing w:beforeAutospacing="1" w:afterAutospacing="1"/>
              <w:rPr>
                <w:rFonts w:ascii="Arial" w:eastAsia="Times New Roman" w:hAnsi="Arial" w:cs="Arial"/>
                <w:sz w:val="24"/>
                <w:szCs w:val="24"/>
                <w:lang w:eastAsia="pl-PL"/>
              </w:rPr>
            </w:pPr>
            <w:r w:rsidRPr="00E10945">
              <w:rPr>
                <w:rFonts w:ascii="Arial" w:hAnsi="Arial" w:cs="Arial"/>
                <w:sz w:val="24"/>
                <w:szCs w:val="24"/>
              </w:rPr>
              <w:t xml:space="preserve"> </w:t>
            </w:r>
            <w:r w:rsidRPr="00E10945">
              <w:rPr>
                <w:rFonts w:ascii="Arial" w:eastAsia="Arial" w:hAnsi="Arial" w:cs="Arial"/>
                <w:sz w:val="24"/>
                <w:szCs w:val="24"/>
              </w:rPr>
              <w:t xml:space="preserve">Przez </w:t>
            </w:r>
            <w:r w:rsidRPr="00E10945">
              <w:rPr>
                <w:rFonts w:ascii="Arial" w:eastAsia="Arial" w:hAnsi="Arial" w:cs="Arial"/>
                <w:color w:val="000000" w:themeColor="text1"/>
                <w:sz w:val="24"/>
                <w:szCs w:val="24"/>
              </w:rPr>
              <w:t xml:space="preserve">zgodność projektu z zasadą równości szans i niedyskryminacji, w tym dostępności dla osób z </w:t>
            </w:r>
            <w:r w:rsidRPr="00E10945">
              <w:rPr>
                <w:rFonts w:ascii="Arial" w:eastAsia="Arial" w:hAnsi="Arial" w:cs="Arial"/>
                <w:sz w:val="24"/>
                <w:szCs w:val="24"/>
                <w:lang w:eastAsia="pl-PL"/>
              </w:rPr>
              <w:t>niepełnosprawnościami</w:t>
            </w:r>
            <w:r w:rsidRPr="00E10945">
              <w:rPr>
                <w:rFonts w:ascii="Arial" w:eastAsia="Arial" w:hAnsi="Arial" w:cs="Arial"/>
                <w:color w:val="000000" w:themeColor="text1"/>
                <w:sz w:val="24"/>
                <w:szCs w:val="24"/>
              </w:rPr>
              <w:t xml:space="preserve"> należy rozumieć </w:t>
            </w:r>
            <w:r w:rsidRPr="00E10945">
              <w:rPr>
                <w:rFonts w:ascii="Arial" w:eastAsia="Arial" w:hAnsi="Arial" w:cs="Arial"/>
                <w:sz w:val="24"/>
                <w:szCs w:val="24"/>
              </w:rPr>
              <w:t>pozytywny wpływ projektu na realizację tej zasady, czyli</w:t>
            </w:r>
            <w:r w:rsidRPr="00E10945">
              <w:rPr>
                <w:rFonts w:ascii="Arial" w:eastAsia="Arial" w:hAnsi="Arial" w:cs="Arial"/>
                <w:sz w:val="24"/>
                <w:szCs w:val="24"/>
                <w:lang w:eastAsia="pl-PL"/>
              </w:rPr>
              <w:t xml:space="preserve"> </w:t>
            </w:r>
            <w:r w:rsidRPr="00E10945">
              <w:rPr>
                <w:rFonts w:ascii="Arial" w:eastAsia="Times New Roman" w:hAnsi="Arial"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w:t>
            </w:r>
            <w:r w:rsidRPr="00E10945">
              <w:rPr>
                <w:rFonts w:ascii="Arial" w:eastAsia="Times New Roman" w:hAnsi="Arial" w:cs="Arial"/>
                <w:sz w:val="24"/>
                <w:szCs w:val="24"/>
                <w:lang w:eastAsia="pl-PL"/>
              </w:rPr>
              <w:lastRenderedPageBreak/>
              <w:t>usprawnienie (oba zdefiniowane w ww. Wytycznych). </w:t>
            </w:r>
          </w:p>
          <w:p w14:paraId="5446089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E10945">
              <w:rPr>
                <w:rFonts w:ascii="Arial" w:eastAsia="Times New Roman" w:hAnsi="Arial" w:cs="Arial"/>
                <w:sz w:val="24"/>
                <w:szCs w:val="24"/>
                <w:vertAlign w:val="superscript"/>
                <w:lang w:eastAsia="pl-PL"/>
              </w:rPr>
              <w:footnoteReference w:id="1"/>
            </w:r>
            <w:r w:rsidRPr="00E10945">
              <w:rPr>
                <w:rFonts w:ascii="Arial" w:eastAsia="Times New Roman" w:hAnsi="Arial" w:cs="Arial"/>
                <w:sz w:val="24"/>
                <w:szCs w:val="24"/>
                <w:lang w:eastAsia="pl-PL"/>
              </w:rPr>
              <w:t>(m.in. przebudowa</w:t>
            </w:r>
            <w:r w:rsidRPr="00E10945">
              <w:rPr>
                <w:rFonts w:ascii="Arial" w:eastAsia="Times New Roman" w:hAnsi="Arial" w:cs="Arial"/>
                <w:sz w:val="24"/>
                <w:szCs w:val="24"/>
                <w:vertAlign w:val="superscript"/>
                <w:lang w:eastAsia="pl-PL"/>
              </w:rPr>
              <w:footnoteReference w:id="2"/>
            </w:r>
            <w:r w:rsidRPr="00E10945">
              <w:rPr>
                <w:rFonts w:ascii="Arial" w:eastAsia="Times New Roman" w:hAnsi="Arial" w:cs="Arial"/>
                <w:sz w:val="24"/>
                <w:szCs w:val="24"/>
                <w:vertAlign w:val="superscript"/>
                <w:lang w:eastAsia="pl-PL"/>
              </w:rPr>
              <w:t xml:space="preserve"> </w:t>
            </w:r>
            <w:r w:rsidRPr="00E10945">
              <w:rPr>
                <w:rFonts w:ascii="Arial" w:eastAsia="Times New Roman" w:hAnsi="Arial" w:cs="Arial"/>
                <w:sz w:val="24"/>
                <w:szCs w:val="24"/>
                <w:lang w:eastAsia="pl-PL"/>
              </w:rPr>
              <w:t>, rozbudowa</w:t>
            </w:r>
            <w:r w:rsidRPr="00E10945">
              <w:rPr>
                <w:rFonts w:ascii="Arial" w:eastAsia="Times New Roman" w:hAnsi="Arial" w:cs="Arial"/>
                <w:sz w:val="24"/>
                <w:szCs w:val="24"/>
                <w:vertAlign w:val="superscript"/>
                <w:lang w:eastAsia="pl-PL"/>
              </w:rPr>
              <w:footnoteReference w:id="3"/>
            </w:r>
            <w:r w:rsidRPr="00E10945">
              <w:rPr>
                <w:rFonts w:ascii="Arial" w:eastAsia="Times New Roman" w:hAnsi="Arial" w:cs="Arial"/>
                <w:sz w:val="24"/>
                <w:szCs w:val="24"/>
                <w:lang w:eastAsia="pl-PL"/>
              </w:rPr>
              <w:t>), zastosowanie standardów dostępności jest obowiązkowe, o ile pozwalają na to warunki techniczne i zakres prowadzonej modernizacji. </w:t>
            </w:r>
          </w:p>
          <w:p w14:paraId="3F286CB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E10945">
              <w:rPr>
                <w:rFonts w:ascii="Arial" w:eastAsia="Times New Roman" w:hAnsi="Arial" w:cs="Arial"/>
                <w:sz w:val="24"/>
                <w:szCs w:val="24"/>
                <w:lang w:eastAsia="pl-PL"/>
              </w:rPr>
              <w:lastRenderedPageBreak/>
              <w:t>przypadku braku kwalifikowalności takich wydatków w projekcie.  </w:t>
            </w:r>
          </w:p>
          <w:p w14:paraId="0CDF4ABA"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6D42756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299F7E6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66C060D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7D4F55B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6798503A"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594ABFE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343113CA" w14:textId="77777777" w:rsidTr="006B59F6">
        <w:trPr>
          <w:trHeight w:val="300"/>
        </w:trPr>
        <w:tc>
          <w:tcPr>
            <w:tcW w:w="988" w:type="dxa"/>
            <w:hideMark/>
          </w:tcPr>
          <w:p w14:paraId="727D88CD"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54F60E5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Zgodność projektu z Kartą Praw Podstawowych Unii Europejskiej z dnia 26 października 2012 r. (Dz. Urz. UE C 326 z </w:t>
            </w:r>
            <w:r w:rsidRPr="00E10945">
              <w:rPr>
                <w:rFonts w:ascii="Arial" w:eastAsia="Times New Roman" w:hAnsi="Arial" w:cs="Arial"/>
                <w:sz w:val="24"/>
                <w:szCs w:val="24"/>
                <w:lang w:eastAsia="pl-PL"/>
              </w:rPr>
              <w:lastRenderedPageBreak/>
              <w:t>26.10.2012, str. 391), w zakresie odnoszącym się do sposobu realizacji, zakresu projektu i wnioskodawcy.</w:t>
            </w:r>
          </w:p>
        </w:tc>
        <w:tc>
          <w:tcPr>
            <w:tcW w:w="5685" w:type="dxa"/>
            <w:hideMark/>
          </w:tcPr>
          <w:p w14:paraId="7E901E5A" w14:textId="77777777" w:rsidR="00812367" w:rsidRPr="00E10945" w:rsidRDefault="00812367" w:rsidP="006B59F6">
            <w:pPr>
              <w:spacing w:beforeAutospacing="1" w:afterAutospacing="1"/>
              <w:rPr>
                <w:rFonts w:ascii="Arial" w:eastAsia="Arial" w:hAnsi="Arial" w:cs="Arial"/>
                <w:sz w:val="24"/>
                <w:szCs w:val="24"/>
              </w:rPr>
            </w:pPr>
            <w:r w:rsidRPr="00E10945">
              <w:rPr>
                <w:rFonts w:ascii="Arial" w:eastAsia="Arial" w:hAnsi="Arial" w:cs="Arial"/>
                <w:sz w:val="24"/>
                <w:szCs w:val="24"/>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w:t>
            </w:r>
            <w:r w:rsidRPr="00E10945">
              <w:rPr>
                <w:rFonts w:ascii="Arial" w:eastAsia="Arial" w:hAnsi="Arial" w:cs="Arial"/>
                <w:sz w:val="24"/>
                <w:szCs w:val="24"/>
              </w:rPr>
              <w:lastRenderedPageBreak/>
              <w:t>zwłaszcza zapisów z części dot. realizacji zasad horyzontalnych. Żaden aspekt projektu, jego zakres oraz sposób jego realizacji nie może naruszać zapisów Karty.</w:t>
            </w:r>
          </w:p>
          <w:p w14:paraId="79E9563B" w14:textId="77777777" w:rsidR="00812367" w:rsidRPr="00E10945" w:rsidRDefault="00812367" w:rsidP="006B59F6">
            <w:pPr>
              <w:spacing w:beforeAutospacing="1" w:afterAutospacing="1"/>
              <w:rPr>
                <w:rFonts w:ascii="Arial" w:eastAsia="Arial" w:hAnsi="Arial" w:cs="Arial"/>
                <w:sz w:val="24"/>
                <w:szCs w:val="24"/>
              </w:rPr>
            </w:pPr>
            <w:r w:rsidRPr="00E10945">
              <w:rPr>
                <w:rFonts w:ascii="Arial" w:eastAsia="Arial" w:hAnsi="Arial" w:cs="Arial"/>
                <w:sz w:val="24"/>
                <w:szCs w:val="24"/>
              </w:rPr>
              <w:t xml:space="preserve">Wsparcie polityki spójności będzie udzielane wyłącznie </w:t>
            </w:r>
            <w:r w:rsidRPr="00E10945">
              <w:rPr>
                <w:rFonts w:ascii="Arial" w:eastAsia="Arial" w:hAnsi="Arial" w:cs="Arial"/>
                <w:sz w:val="24"/>
                <w:szCs w:val="24"/>
                <w:lang w:eastAsia="pl-PL"/>
              </w:rPr>
              <w:t>projektom</w:t>
            </w:r>
            <w:r w:rsidRPr="00E10945">
              <w:rPr>
                <w:rFonts w:ascii="Arial" w:eastAsia="Arial" w:hAnsi="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w:t>
            </w:r>
            <w:r w:rsidRPr="00E10945">
              <w:rPr>
                <w:rFonts w:ascii="Arial" w:eastAsia="Arial" w:hAnsi="Arial" w:cs="Arial"/>
                <w:sz w:val="24"/>
                <w:szCs w:val="24"/>
              </w:rPr>
              <w:lastRenderedPageBreak/>
              <w:t>razie wsparcie w ramach polityki spójności nie może być udzielone.</w:t>
            </w:r>
          </w:p>
          <w:p w14:paraId="079E193C" w14:textId="77777777" w:rsidR="00812367" w:rsidRPr="00E10945" w:rsidRDefault="00812367" w:rsidP="006B59F6">
            <w:pPr>
              <w:spacing w:beforeAutospacing="1" w:afterAutospacing="1"/>
              <w:rPr>
                <w:rFonts w:ascii="Arial" w:eastAsia="Arial" w:hAnsi="Arial" w:cs="Arial"/>
                <w:sz w:val="24"/>
                <w:szCs w:val="24"/>
              </w:rPr>
            </w:pPr>
            <w:r w:rsidRPr="00E10945">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573AD9C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07C09B7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0319736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026D3FB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6429E444" w14:textId="77777777" w:rsidTr="006B59F6">
        <w:trPr>
          <w:trHeight w:val="300"/>
        </w:trPr>
        <w:tc>
          <w:tcPr>
            <w:tcW w:w="988" w:type="dxa"/>
            <w:hideMark/>
          </w:tcPr>
          <w:p w14:paraId="59D0F67B"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p w14:paraId="408CB788" w14:textId="77777777" w:rsidR="00812367" w:rsidRPr="00E10945" w:rsidRDefault="00812367" w:rsidP="006B59F6">
            <w:pPr>
              <w:spacing w:before="100" w:beforeAutospacing="1" w:after="100" w:afterAutospacing="1"/>
              <w:jc w:val="center"/>
              <w:textAlignment w:val="baseline"/>
              <w:rPr>
                <w:rFonts w:ascii="Arial" w:eastAsia="Times New Roman" w:hAnsi="Arial" w:cs="Arial"/>
                <w:sz w:val="24"/>
                <w:szCs w:val="24"/>
                <w:lang w:eastAsia="pl-PL"/>
              </w:rPr>
            </w:pPr>
          </w:p>
        </w:tc>
        <w:tc>
          <w:tcPr>
            <w:tcW w:w="2075" w:type="dxa"/>
            <w:hideMark/>
          </w:tcPr>
          <w:p w14:paraId="7169B6F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7F9E1F4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Zgodność projektu z Konwencją o Prawach Osób Niepełnosprawnych, na etapie oceny wniosku należy rozumieć jako brak sprzeczności pomiędzy zapisami projektu a wymogami tego dokumentu.</w:t>
            </w:r>
          </w:p>
          <w:p w14:paraId="70224A3E" w14:textId="77777777" w:rsidR="00812367" w:rsidRPr="00E10945" w:rsidRDefault="00812367" w:rsidP="006B59F6">
            <w:pPr>
              <w:rPr>
                <w:rFonts w:ascii="Arial" w:hAnsi="Arial" w:cs="Arial"/>
                <w:sz w:val="24"/>
                <w:szCs w:val="24"/>
              </w:rPr>
            </w:pPr>
            <w:r w:rsidRPr="00E10945">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E8724E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TAK </w:t>
            </w:r>
          </w:p>
          <w:p w14:paraId="51A0BAC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1E29D83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46591FE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578354D7" w14:textId="77777777" w:rsidTr="006B59F6">
        <w:trPr>
          <w:trHeight w:val="300"/>
        </w:trPr>
        <w:tc>
          <w:tcPr>
            <w:tcW w:w="988" w:type="dxa"/>
            <w:hideMark/>
          </w:tcPr>
          <w:p w14:paraId="3626EE81"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0E9890A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 xml:space="preserve">Zgodność projektu z zasadą </w:t>
            </w:r>
            <w:r w:rsidRPr="00E10945">
              <w:rPr>
                <w:rFonts w:ascii="Arial" w:eastAsia="Times New Roman" w:hAnsi="Arial" w:cs="Arial"/>
                <w:color w:val="000000" w:themeColor="text1"/>
                <w:sz w:val="24"/>
                <w:szCs w:val="24"/>
                <w:lang w:eastAsia="pl-PL"/>
              </w:rPr>
              <w:lastRenderedPageBreak/>
              <w:t>deinstytucjonalizacji</w:t>
            </w:r>
          </w:p>
        </w:tc>
        <w:tc>
          <w:tcPr>
            <w:tcW w:w="5685" w:type="dxa"/>
            <w:hideMark/>
          </w:tcPr>
          <w:p w14:paraId="0DF101BA" w14:textId="77777777" w:rsidR="00812367" w:rsidRPr="00E10945" w:rsidRDefault="00812367" w:rsidP="006B59F6">
            <w:pPr>
              <w:spacing w:before="100" w:beforeAutospacing="1" w:after="100" w:afterAutospacing="1"/>
              <w:textAlignment w:val="baseline"/>
              <w:rPr>
                <w:rFonts w:ascii="Arial" w:eastAsia="Arial" w:hAnsi="Arial" w:cs="Arial"/>
                <w:color w:val="000000" w:themeColor="text1"/>
                <w:sz w:val="24"/>
                <w:szCs w:val="24"/>
              </w:rPr>
            </w:pPr>
            <w:r w:rsidRPr="00E10945">
              <w:rPr>
                <w:rFonts w:ascii="Arial" w:eastAsia="Arial" w:hAnsi="Arial" w:cs="Arial"/>
                <w:color w:val="000000" w:themeColor="text1"/>
                <w:sz w:val="24"/>
                <w:szCs w:val="24"/>
              </w:rPr>
              <w:lastRenderedPageBreak/>
              <w:t xml:space="preserve"> Wsparcie będzie udzielane wyłącznie projektom zgodnym z zasadą deinstytucjonalizacji:</w:t>
            </w:r>
          </w:p>
          <w:p w14:paraId="71DBE780" w14:textId="77777777" w:rsidR="00812367" w:rsidRPr="00E10945" w:rsidRDefault="00812367" w:rsidP="006B59F6">
            <w:pPr>
              <w:pStyle w:val="Akapitzlist"/>
              <w:numPr>
                <w:ilvl w:val="0"/>
                <w:numId w:val="17"/>
              </w:numPr>
              <w:spacing w:before="100" w:beforeAutospacing="1" w:after="100" w:afterAutospacing="1" w:line="240" w:lineRule="auto"/>
              <w:textAlignment w:val="baseline"/>
              <w:rPr>
                <w:rFonts w:ascii="Arial" w:eastAsia="Arial" w:hAnsi="Arial" w:cs="Arial"/>
                <w:color w:val="000000" w:themeColor="text1"/>
                <w:sz w:val="24"/>
                <w:szCs w:val="24"/>
              </w:rPr>
            </w:pPr>
            <w:r w:rsidRPr="00E10945">
              <w:rPr>
                <w:rFonts w:ascii="Arial" w:eastAsia="Arial" w:hAnsi="Arial" w:cs="Arial"/>
                <w:color w:val="000000" w:themeColor="text1"/>
                <w:sz w:val="24"/>
                <w:szCs w:val="24"/>
              </w:rPr>
              <w:lastRenderedPageBreak/>
              <w:t>w zakresie CP4: inwestycje infrastrukturalne w placówki świadczące całodobową opiekę długoterminową w instytucjonalnych formach nie będą wspierane; </w:t>
            </w:r>
          </w:p>
          <w:p w14:paraId="1C4D1CC7" w14:textId="77777777" w:rsidR="00812367" w:rsidRPr="00E10945" w:rsidRDefault="00812367" w:rsidP="006B59F6">
            <w:pPr>
              <w:pStyle w:val="Akapitzlist"/>
              <w:numPr>
                <w:ilvl w:val="0"/>
                <w:numId w:val="17"/>
              </w:numPr>
              <w:spacing w:before="100" w:beforeAutospacing="1" w:after="100" w:afterAutospacing="1" w:line="240" w:lineRule="auto"/>
              <w:textAlignment w:val="baseline"/>
              <w:rPr>
                <w:rFonts w:ascii="Arial" w:eastAsia="Arial" w:hAnsi="Arial" w:cs="Arial"/>
                <w:sz w:val="24"/>
                <w:szCs w:val="24"/>
              </w:rPr>
            </w:pPr>
            <w:r w:rsidRPr="00E10945">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E10945">
              <w:rPr>
                <w:rFonts w:ascii="Arial" w:eastAsia="Arial" w:hAnsi="Arial" w:cs="Arial"/>
                <w:sz w:val="24"/>
                <w:szCs w:val="24"/>
              </w:rPr>
              <w:t xml:space="preserve"> </w:t>
            </w:r>
          </w:p>
          <w:p w14:paraId="5555BAC2" w14:textId="77777777" w:rsidR="00812367" w:rsidRPr="00E10945" w:rsidRDefault="00812367" w:rsidP="006B59F6">
            <w:pPr>
              <w:pStyle w:val="Akapitzlist"/>
              <w:numPr>
                <w:ilvl w:val="0"/>
                <w:numId w:val="17"/>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E10945">
              <w:rPr>
                <w:rFonts w:ascii="Arial" w:eastAsia="Arial" w:hAnsi="Arial" w:cs="Arial"/>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54EA94B8" w14:textId="77777777" w:rsidR="00812367" w:rsidRPr="00E10945" w:rsidRDefault="00812367" w:rsidP="006B59F6">
            <w:pPr>
              <w:pStyle w:val="Akapitzlist"/>
              <w:numPr>
                <w:ilvl w:val="0"/>
                <w:numId w:val="17"/>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E10945">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Pr="00E10945">
              <w:rPr>
                <w:rFonts w:ascii="Arial" w:hAnsi="Arial" w:cs="Arial"/>
                <w:sz w:val="24"/>
                <w:szCs w:val="24"/>
              </w:rPr>
              <w:br/>
            </w:r>
            <w:r w:rsidRPr="00E10945">
              <w:rPr>
                <w:rFonts w:ascii="Arial" w:eastAsia="Arial" w:hAnsi="Arial" w:cs="Arial"/>
                <w:color w:val="000000" w:themeColor="text1"/>
                <w:sz w:val="24"/>
                <w:szCs w:val="24"/>
              </w:rPr>
              <w:t>o Prawach Dziecka (w szczególności art. 20 i 21).</w:t>
            </w:r>
          </w:p>
          <w:p w14:paraId="4658346E" w14:textId="77777777" w:rsidR="00812367" w:rsidRPr="00E10945" w:rsidRDefault="00812367" w:rsidP="006B59F6">
            <w:pPr>
              <w:spacing w:before="100" w:beforeAutospacing="1" w:after="100" w:afterAutospacing="1"/>
              <w:textAlignment w:val="baseline"/>
              <w:rPr>
                <w:rFonts w:ascii="Arial" w:eastAsia="Arial" w:hAnsi="Arial" w:cs="Arial"/>
                <w:color w:val="000000" w:themeColor="text1"/>
                <w:sz w:val="24"/>
                <w:szCs w:val="24"/>
              </w:rPr>
            </w:pPr>
            <w:r w:rsidRPr="00E10945">
              <w:rPr>
                <w:rFonts w:ascii="Arial" w:eastAsia="Arial" w:hAnsi="Arial" w:cs="Arial"/>
                <w:color w:val="000000" w:themeColor="text1"/>
                <w:sz w:val="24"/>
                <w:szCs w:val="24"/>
              </w:rPr>
              <w:lastRenderedPageBreak/>
              <w:t>W ocenie Instytucja Zarządzająca korzystać będzie z definicji zawartych w Wytycznych dotyczących realizacji projektów z udziałem środków Europejskiego Funduszu Społecznego Plus w regionalnych programach na lata 2021–2027.</w:t>
            </w:r>
          </w:p>
          <w:p w14:paraId="40E034C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Arial" w:hAnsi="Arial" w:cs="Arial"/>
                <w:sz w:val="24"/>
                <w:szCs w:val="24"/>
              </w:rPr>
              <w:t>Kryterium zostanie zweryfikowane na podstawie zapisów we wniosku o dofinansowanie projektu. </w:t>
            </w:r>
            <w:r w:rsidRPr="00E10945">
              <w:rPr>
                <w:rFonts w:ascii="Arial" w:eastAsia="Times New Roman" w:hAnsi="Arial" w:cs="Arial"/>
                <w:color w:val="000000" w:themeColor="text1"/>
                <w:sz w:val="24"/>
                <w:szCs w:val="24"/>
                <w:lang w:eastAsia="pl-PL"/>
              </w:rPr>
              <w:t> </w:t>
            </w:r>
          </w:p>
        </w:tc>
        <w:tc>
          <w:tcPr>
            <w:tcW w:w="2020" w:type="dxa"/>
            <w:hideMark/>
          </w:tcPr>
          <w:p w14:paraId="7455A7C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1513912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Kryterium podlega uzupełnieniu </w:t>
            </w:r>
          </w:p>
        </w:tc>
        <w:tc>
          <w:tcPr>
            <w:tcW w:w="1560" w:type="dxa"/>
            <w:hideMark/>
          </w:tcPr>
          <w:p w14:paraId="2AB4872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0/1</w:t>
            </w:r>
          </w:p>
        </w:tc>
        <w:tc>
          <w:tcPr>
            <w:tcW w:w="1721" w:type="dxa"/>
            <w:hideMark/>
          </w:tcPr>
          <w:p w14:paraId="6AB25C1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082AEC46" w14:textId="77777777" w:rsidTr="006B59F6">
        <w:trPr>
          <w:trHeight w:val="300"/>
        </w:trPr>
        <w:tc>
          <w:tcPr>
            <w:tcW w:w="988" w:type="dxa"/>
            <w:hideMark/>
          </w:tcPr>
          <w:p w14:paraId="645A9352"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01D29B1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Prawidłowość zawarcia partnerstwa – w tym partnerstwa publiczno - prywatnego (jeśli dotyczy) </w:t>
            </w:r>
          </w:p>
        </w:tc>
        <w:tc>
          <w:tcPr>
            <w:tcW w:w="5685" w:type="dxa"/>
            <w:hideMark/>
          </w:tcPr>
          <w:p w14:paraId="079577B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 ramach kryterium weryfikowane będzie: </w:t>
            </w:r>
          </w:p>
          <w:p w14:paraId="0C1E423C" w14:textId="77777777" w:rsidR="00812367" w:rsidRPr="00E10945" w:rsidRDefault="00812367" w:rsidP="006B59F6">
            <w:pPr>
              <w:numPr>
                <w:ilvl w:val="0"/>
                <w:numId w:val="14"/>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7FDFBC58" w14:textId="77777777" w:rsidR="00812367" w:rsidRPr="00E10945" w:rsidRDefault="00812367" w:rsidP="006B59F6">
            <w:pPr>
              <w:numPr>
                <w:ilvl w:val="0"/>
                <w:numId w:val="14"/>
              </w:numPr>
              <w:spacing w:beforeAutospacing="1" w:after="200" w:afterAutospacing="1" w:line="276" w:lineRule="auto"/>
              <w:ind w:firstLine="0"/>
              <w:rPr>
                <w:rFonts w:ascii="Arial" w:eastAsia="Times New Roman" w:hAnsi="Arial" w:cs="Arial"/>
                <w:color w:val="000000" w:themeColor="text1"/>
                <w:sz w:val="24"/>
                <w:szCs w:val="24"/>
                <w:lang w:eastAsia="pl-PL"/>
              </w:rPr>
            </w:pPr>
            <w:r w:rsidRPr="00E10945">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454974A2" w14:textId="77777777" w:rsidR="00812367" w:rsidRPr="00E10945" w:rsidRDefault="00812367" w:rsidP="006B59F6">
            <w:pPr>
              <w:numPr>
                <w:ilvl w:val="0"/>
                <w:numId w:val="14"/>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 xml:space="preserve">czy w przypadku projektu partnerskiego, dochowano wszystkich obowiązków wynikających z ustawy z dnia 28 kwietnia 2022 roku o zasadach realizacji zadań finansowanych ze środków </w:t>
            </w:r>
            <w:r w:rsidRPr="00E10945">
              <w:rPr>
                <w:rFonts w:ascii="Arial" w:eastAsia="Times New Roman" w:hAnsi="Arial" w:cs="Arial"/>
                <w:color w:val="000000" w:themeColor="text1"/>
                <w:sz w:val="24"/>
                <w:szCs w:val="24"/>
                <w:lang w:eastAsia="pl-PL"/>
              </w:rPr>
              <w:lastRenderedPageBreak/>
              <w:t>europejskich w perspektywie finansowej 2021–2027, </w:t>
            </w:r>
          </w:p>
          <w:p w14:paraId="2E0C36C1" w14:textId="77777777" w:rsidR="00812367" w:rsidRPr="00E10945" w:rsidRDefault="00812367" w:rsidP="006B59F6">
            <w:pPr>
              <w:numPr>
                <w:ilvl w:val="0"/>
                <w:numId w:val="14"/>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259D640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2213392F"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5685955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5DBF1F9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16F4405F" w14:textId="77777777" w:rsidTr="006B59F6">
        <w:trPr>
          <w:trHeight w:val="300"/>
        </w:trPr>
        <w:tc>
          <w:tcPr>
            <w:tcW w:w="988" w:type="dxa"/>
            <w:hideMark/>
          </w:tcPr>
          <w:p w14:paraId="71B6F0CD"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1240CB3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5AC1597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w:t>
            </w:r>
            <w:r w:rsidRPr="00E10945">
              <w:rPr>
                <w:rFonts w:ascii="Arial" w:eastAsia="Times New Roman" w:hAnsi="Arial" w:cs="Arial"/>
                <w:sz w:val="24"/>
                <w:szCs w:val="24"/>
                <w:lang w:eastAsia="pl-PL"/>
              </w:rPr>
              <w:lastRenderedPageBreak/>
              <w:t>dofinansowanie deklarują się jako projekty rewitalizacyjne.  </w:t>
            </w:r>
          </w:p>
          <w:p w14:paraId="4693266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Przedmiotem oceny formalnej jest potwierdzenie:  </w:t>
            </w:r>
          </w:p>
          <w:p w14:paraId="1635A313" w14:textId="77777777" w:rsidR="00812367" w:rsidRPr="00E10945" w:rsidRDefault="00812367" w:rsidP="006B59F6">
            <w:pPr>
              <w:numPr>
                <w:ilvl w:val="0"/>
                <w:numId w:val="15"/>
              </w:numPr>
              <w:spacing w:before="100" w:beforeAutospacing="1" w:after="100" w:afterAutospacing="1" w:line="276" w:lineRule="auto"/>
              <w:ind w:left="108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22BDDF54" w14:textId="77777777" w:rsidR="00812367" w:rsidRPr="00E10945" w:rsidRDefault="00812367" w:rsidP="006B59F6">
            <w:pPr>
              <w:numPr>
                <w:ilvl w:val="0"/>
                <w:numId w:val="15"/>
              </w:numPr>
              <w:spacing w:before="100" w:beforeAutospacing="1" w:after="100" w:afterAutospacing="1" w:line="276" w:lineRule="auto"/>
              <w:ind w:left="108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projekt znajduje się na liście planowanych podstawowych/ogólnej charakterystyki pozostałych przedsięwzięć rewitalizacyjnych określonych w programie rewitalizacji? </w:t>
            </w:r>
          </w:p>
          <w:p w14:paraId="692D61AB" w14:textId="77777777" w:rsidR="00812367" w:rsidRPr="00E10945" w:rsidRDefault="00812367" w:rsidP="006B59F6">
            <w:pPr>
              <w:numPr>
                <w:ilvl w:val="0"/>
                <w:numId w:val="15"/>
              </w:numPr>
              <w:spacing w:before="100" w:beforeAutospacing="1" w:after="100" w:afterAutospacing="1" w:line="276" w:lineRule="auto"/>
              <w:ind w:left="108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E10945">
              <w:rPr>
                <w:rFonts w:ascii="Arial" w:eastAsia="Times New Roman" w:hAnsi="Arial" w:cs="Arial"/>
                <w:i/>
                <w:iCs/>
                <w:sz w:val="24"/>
                <w:szCs w:val="24"/>
                <w:lang w:eastAsia="pl-PL"/>
              </w:rPr>
              <w:t xml:space="preserve">Otwartego Regionalnego Systemu Informacji Przestrzennej </w:t>
            </w:r>
            <w:r w:rsidRPr="00E10945">
              <w:rPr>
                <w:rFonts w:ascii="Arial" w:eastAsia="Times New Roman" w:hAnsi="Arial" w:cs="Arial"/>
                <w:i/>
                <w:iCs/>
                <w:sz w:val="24"/>
                <w:szCs w:val="24"/>
                <w:lang w:eastAsia="pl-PL"/>
              </w:rPr>
              <w:lastRenderedPageBreak/>
              <w:t>Województwa Śląskiego</w:t>
            </w:r>
            <w:r w:rsidRPr="00E10945">
              <w:rPr>
                <w:rFonts w:ascii="Arial" w:eastAsia="Times New Roman" w:hAnsi="Arial" w:cs="Arial"/>
                <w:b/>
                <w:bCs/>
                <w:sz w:val="24"/>
                <w:szCs w:val="24"/>
                <w:lang w:eastAsia="pl-PL"/>
              </w:rPr>
              <w:t xml:space="preserve"> (ORSIP 2.0 lub jego aktualizacja)</w:t>
            </w:r>
            <w:r w:rsidRPr="00E10945">
              <w:rPr>
                <w:rFonts w:ascii="Arial" w:eastAsia="Times New Roman" w:hAnsi="Arial" w:cs="Arial"/>
                <w:sz w:val="24"/>
                <w:szCs w:val="24"/>
                <w:lang w:eastAsia="pl-PL"/>
              </w:rPr>
              <w:t>? </w:t>
            </w:r>
          </w:p>
          <w:p w14:paraId="0D08DA41" w14:textId="77777777" w:rsidR="00812367" w:rsidRPr="00E10945" w:rsidRDefault="00812367" w:rsidP="006B59F6">
            <w:pPr>
              <w:numPr>
                <w:ilvl w:val="0"/>
                <w:numId w:val="15"/>
              </w:numPr>
              <w:spacing w:before="100" w:beforeAutospacing="1" w:after="100" w:afterAutospacing="1" w:line="276" w:lineRule="auto"/>
              <w:ind w:left="108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E10945">
              <w:rPr>
                <w:rFonts w:ascii="Arial" w:eastAsia="Times New Roman" w:hAnsi="Arial" w:cs="Arial"/>
                <w:i/>
                <w:iCs/>
                <w:sz w:val="24"/>
                <w:szCs w:val="24"/>
                <w:lang w:eastAsia="pl-PL"/>
              </w:rPr>
              <w:t>Otwartego Regionalnego Systemu Informacji Przestrzennej Województwa Śląskiego (</w:t>
            </w:r>
            <w:r w:rsidRPr="00E10945">
              <w:rPr>
                <w:rFonts w:ascii="Arial" w:eastAsia="Times New Roman" w:hAnsi="Arial" w:cs="Arial"/>
                <w:b/>
                <w:bCs/>
                <w:sz w:val="24"/>
                <w:szCs w:val="24"/>
                <w:lang w:eastAsia="pl-PL"/>
              </w:rPr>
              <w:t>ORSIP 2.0 lub jego aktualizacja)</w:t>
            </w:r>
            <w:r w:rsidRPr="00E10945">
              <w:rPr>
                <w:rFonts w:ascii="Arial" w:eastAsia="Times New Roman" w:hAnsi="Arial" w:cs="Arial"/>
                <w:sz w:val="24"/>
                <w:szCs w:val="24"/>
                <w:lang w:eastAsia="pl-PL"/>
              </w:rPr>
              <w:t>?  </w:t>
            </w:r>
          </w:p>
          <w:p w14:paraId="27A9B021" w14:textId="77777777" w:rsidR="00812367" w:rsidRPr="00E10945" w:rsidRDefault="00812367" w:rsidP="006B59F6">
            <w:pPr>
              <w:numPr>
                <w:ilvl w:val="1"/>
                <w:numId w:val="15"/>
              </w:numPr>
              <w:spacing w:beforeAutospacing="1" w:after="200" w:afterAutospacing="1" w:line="276" w:lineRule="auto"/>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w:t>
            </w:r>
            <w:r w:rsidRPr="00E10945">
              <w:rPr>
                <w:rFonts w:ascii="Arial" w:eastAsia="Times New Roman" w:hAnsi="Arial" w:cs="Arial"/>
                <w:sz w:val="24"/>
                <w:szCs w:val="24"/>
                <w:lang w:eastAsia="pl-PL"/>
              </w:rPr>
              <w:lastRenderedPageBreak/>
              <w:t>realizacja wykracza poza obszar rewitalizacji, weryfikacji podlegać będzie informacja zawarta w programie rewitalizacji ukazująca zasadność takiego działania.</w:t>
            </w:r>
          </w:p>
          <w:p w14:paraId="33D6A487" w14:textId="77777777" w:rsidR="00812367" w:rsidRPr="00E10945" w:rsidRDefault="00812367" w:rsidP="006B59F6">
            <w:pPr>
              <w:spacing w:beforeAutospacing="1" w:afterAutospacing="1"/>
              <w:rPr>
                <w:rFonts w:ascii="Arial" w:eastAsia="Times New Roman" w:hAnsi="Arial" w:cs="Arial"/>
                <w:sz w:val="24"/>
                <w:szCs w:val="24"/>
                <w:lang w:eastAsia="pl-PL"/>
              </w:rPr>
            </w:pPr>
          </w:p>
        </w:tc>
        <w:tc>
          <w:tcPr>
            <w:tcW w:w="2020" w:type="dxa"/>
            <w:hideMark/>
          </w:tcPr>
          <w:p w14:paraId="4C728DE8"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61BAE65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5A2317A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0F504F0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2A752EBD" w14:textId="77777777" w:rsidTr="006B59F6">
        <w:trPr>
          <w:trHeight w:val="300"/>
        </w:trPr>
        <w:tc>
          <w:tcPr>
            <w:tcW w:w="988" w:type="dxa"/>
            <w:hideMark/>
          </w:tcPr>
          <w:p w14:paraId="33562FEA"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0C78EEB7"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166A99A1"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W ramach kryterium weryfikowane będzie: </w:t>
            </w:r>
          </w:p>
          <w:p w14:paraId="12948358" w14:textId="77777777" w:rsidR="00812367" w:rsidRPr="00E10945" w:rsidRDefault="00812367" w:rsidP="006B59F6">
            <w:pPr>
              <w:numPr>
                <w:ilvl w:val="0"/>
                <w:numId w:val="1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prawidłowo określono okres trwałości (3/5 lat / Nie dotyczy) </w:t>
            </w:r>
          </w:p>
          <w:p w14:paraId="667F6FE1" w14:textId="77777777" w:rsidR="00812367" w:rsidRPr="00E10945" w:rsidRDefault="00812367" w:rsidP="006B59F6">
            <w:pPr>
              <w:numPr>
                <w:ilvl w:val="0"/>
                <w:numId w:val="13"/>
              </w:numPr>
              <w:spacing w:before="100" w:beforeAutospacing="1" w:after="100" w:afterAutospacing="1" w:line="276" w:lineRule="auto"/>
              <w:ind w:firstLine="0"/>
              <w:textAlignment w:val="baseline"/>
              <w:rPr>
                <w:rFonts w:ascii="Arial" w:eastAsia="Times New Roman" w:hAnsi="Arial" w:cs="Arial"/>
                <w:sz w:val="24"/>
                <w:szCs w:val="24"/>
                <w:lang w:eastAsia="pl-PL"/>
              </w:rPr>
            </w:pPr>
            <w:r w:rsidRPr="00E10945">
              <w:rPr>
                <w:rFonts w:ascii="Arial" w:eastAsia="Times New Roman" w:hAnsi="Arial" w:cs="Arial"/>
                <w:color w:val="000000" w:themeColor="text1"/>
                <w:sz w:val="24"/>
                <w:szCs w:val="24"/>
                <w:lang w:eastAsia="pl-PL"/>
              </w:rPr>
              <w:t>Czy opisano założenia dotyczące utrzymania celów i trwałości, odpłatne świadczenie usług. Czy opisy są zrozumiałe, logiczne i jednoznaczne?  </w:t>
            </w:r>
          </w:p>
        </w:tc>
        <w:tc>
          <w:tcPr>
            <w:tcW w:w="2020" w:type="dxa"/>
            <w:hideMark/>
          </w:tcPr>
          <w:p w14:paraId="41F3EB5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TAK </w:t>
            </w:r>
          </w:p>
          <w:p w14:paraId="459787C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6141833C"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295484BE"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rsidDel="00131B37" w14:paraId="7C2599B5" w14:textId="77777777" w:rsidTr="006B59F6">
        <w:trPr>
          <w:trHeight w:val="300"/>
        </w:trPr>
        <w:tc>
          <w:tcPr>
            <w:tcW w:w="988" w:type="dxa"/>
            <w:hideMark/>
          </w:tcPr>
          <w:p w14:paraId="6C8EC799" w14:textId="77777777" w:rsidR="00812367" w:rsidRPr="00E10945" w:rsidDel="00131B37"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3C8C289A" w14:textId="77777777" w:rsidR="00812367" w:rsidRPr="00E10945" w:rsidDel="00131B37"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sidDel="00131B37">
              <w:rPr>
                <w:rFonts w:ascii="Arial" w:eastAsia="Times New Roman" w:hAnsi="Arial" w:cs="Arial"/>
                <w:color w:val="000000"/>
                <w:sz w:val="24"/>
                <w:szCs w:val="24"/>
                <w:lang w:eastAsia="pl-PL"/>
              </w:rPr>
              <w:t>Poprawność informacji dot. zadań w projekcie </w:t>
            </w:r>
          </w:p>
        </w:tc>
        <w:tc>
          <w:tcPr>
            <w:tcW w:w="5685" w:type="dxa"/>
            <w:hideMark/>
          </w:tcPr>
          <w:p w14:paraId="67FE64B3" w14:textId="77777777" w:rsidR="00812367" w:rsidRPr="00E10945" w:rsidDel="00131B37" w:rsidRDefault="00812367" w:rsidP="006B59F6">
            <w:pPr>
              <w:spacing w:before="100" w:beforeAutospacing="1" w:after="100" w:afterAutospacing="1"/>
              <w:ind w:left="480"/>
              <w:textAlignment w:val="baseline"/>
              <w:rPr>
                <w:rFonts w:ascii="Arial" w:eastAsia="Times New Roman" w:hAnsi="Arial" w:cs="Arial"/>
                <w:sz w:val="24"/>
                <w:szCs w:val="24"/>
                <w:lang w:eastAsia="pl-PL"/>
              </w:rPr>
            </w:pPr>
            <w:r w:rsidRPr="00E10945" w:rsidDel="00131B37">
              <w:rPr>
                <w:rFonts w:ascii="Arial" w:eastAsia="Times New Roman" w:hAnsi="Arial" w:cs="Arial"/>
                <w:color w:val="000000"/>
                <w:sz w:val="24"/>
                <w:szCs w:val="24"/>
                <w:lang w:eastAsia="pl-PL"/>
              </w:rPr>
              <w:t>W ramach kryterium weryfikowane będzie: </w:t>
            </w:r>
          </w:p>
          <w:p w14:paraId="256A0F2E" w14:textId="77777777" w:rsidR="00812367" w:rsidRPr="00E10945" w:rsidDel="00131B37" w:rsidRDefault="00812367" w:rsidP="006B59F6">
            <w:pPr>
              <w:numPr>
                <w:ilvl w:val="0"/>
                <w:numId w:val="9"/>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sidDel="00131B37">
              <w:rPr>
                <w:rFonts w:ascii="Arial" w:eastAsia="Times New Roman" w:hAnsi="Arial" w:cs="Arial"/>
                <w:color w:val="000000"/>
                <w:sz w:val="24"/>
                <w:szCs w:val="24"/>
                <w:lang w:eastAsia="pl-PL"/>
              </w:rPr>
              <w:t>czy nazwa zadania jest adekwatna i odpowiada zakresowi rzeczowemu zadania?  </w:t>
            </w:r>
          </w:p>
          <w:p w14:paraId="70D51D9E" w14:textId="77777777" w:rsidR="00812367" w:rsidRPr="00E10945" w:rsidDel="00131B37" w:rsidRDefault="00812367" w:rsidP="006B59F6">
            <w:pPr>
              <w:numPr>
                <w:ilvl w:val="0"/>
                <w:numId w:val="9"/>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sidDel="00131B37">
              <w:rPr>
                <w:rFonts w:ascii="Arial" w:eastAsia="Times New Roman" w:hAnsi="Arial"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14:paraId="3ADE224C" w14:textId="77777777" w:rsidR="00812367" w:rsidRPr="00E10945" w:rsidDel="00131B37" w:rsidRDefault="00812367" w:rsidP="006B59F6">
            <w:pPr>
              <w:numPr>
                <w:ilvl w:val="0"/>
                <w:numId w:val="9"/>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sidDel="00131B37">
              <w:rPr>
                <w:rFonts w:ascii="Arial" w:eastAsia="Times New Roman" w:hAnsi="Arial" w:cs="Arial"/>
                <w:color w:val="000000"/>
                <w:sz w:val="24"/>
                <w:szCs w:val="24"/>
                <w:lang w:eastAsia="pl-PL"/>
              </w:rPr>
              <w:lastRenderedPageBreak/>
              <w:t>czy wskazano realizatora przy poszczególnych zadaniach?  </w:t>
            </w:r>
          </w:p>
        </w:tc>
        <w:tc>
          <w:tcPr>
            <w:tcW w:w="2020" w:type="dxa"/>
            <w:hideMark/>
          </w:tcPr>
          <w:p w14:paraId="76D686A9" w14:textId="77777777" w:rsidR="00812367" w:rsidRPr="00E10945" w:rsidDel="00131B37"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sidDel="00131B37">
              <w:rPr>
                <w:rFonts w:ascii="Arial" w:eastAsia="Times New Roman" w:hAnsi="Arial" w:cs="Arial"/>
                <w:sz w:val="24"/>
                <w:szCs w:val="24"/>
                <w:lang w:eastAsia="pl-PL"/>
              </w:rPr>
              <w:lastRenderedPageBreak/>
              <w:t>TAK </w:t>
            </w:r>
          </w:p>
          <w:p w14:paraId="1EF9056C" w14:textId="77777777" w:rsidR="00812367" w:rsidRPr="00E10945" w:rsidDel="00131B37"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sidDel="00131B37">
              <w:rPr>
                <w:rFonts w:ascii="Arial" w:eastAsia="Times New Roman" w:hAnsi="Arial" w:cs="Arial"/>
                <w:sz w:val="24"/>
                <w:szCs w:val="24"/>
                <w:lang w:eastAsia="pl-PL"/>
              </w:rPr>
              <w:t>Kryterium podlega uzupełnieniu </w:t>
            </w:r>
          </w:p>
        </w:tc>
        <w:tc>
          <w:tcPr>
            <w:tcW w:w="1560" w:type="dxa"/>
            <w:hideMark/>
          </w:tcPr>
          <w:p w14:paraId="5251B5CF" w14:textId="77777777" w:rsidR="00812367" w:rsidRPr="00E10945" w:rsidDel="00131B37"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sidDel="00131B37">
              <w:rPr>
                <w:rFonts w:ascii="Arial" w:eastAsia="Times New Roman" w:hAnsi="Arial" w:cs="Arial"/>
                <w:sz w:val="24"/>
                <w:szCs w:val="24"/>
                <w:lang w:eastAsia="pl-PL"/>
              </w:rPr>
              <w:t>0/1 </w:t>
            </w:r>
          </w:p>
        </w:tc>
        <w:tc>
          <w:tcPr>
            <w:tcW w:w="1721" w:type="dxa"/>
            <w:hideMark/>
          </w:tcPr>
          <w:p w14:paraId="23B89B2C" w14:textId="77777777" w:rsidR="00812367" w:rsidRPr="00E10945" w:rsidDel="00131B37"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sidDel="00131B37">
              <w:rPr>
                <w:rFonts w:ascii="Arial" w:eastAsia="Times New Roman" w:hAnsi="Arial" w:cs="Arial"/>
                <w:sz w:val="24"/>
                <w:szCs w:val="24"/>
                <w:lang w:eastAsia="pl-PL"/>
              </w:rPr>
              <w:t>Nie dotyczy </w:t>
            </w:r>
          </w:p>
        </w:tc>
      </w:tr>
      <w:tr w:rsidR="00812367" w:rsidRPr="00E10945" w14:paraId="1D93C514" w14:textId="77777777" w:rsidTr="006B59F6">
        <w:trPr>
          <w:trHeight w:val="300"/>
        </w:trPr>
        <w:tc>
          <w:tcPr>
            <w:tcW w:w="988" w:type="dxa"/>
            <w:hideMark/>
          </w:tcPr>
          <w:p w14:paraId="4986B3D5"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4FADCE9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Kwalifikowalność wydatków </w:t>
            </w:r>
          </w:p>
        </w:tc>
        <w:tc>
          <w:tcPr>
            <w:tcW w:w="5685" w:type="dxa"/>
            <w:hideMark/>
          </w:tcPr>
          <w:p w14:paraId="59DC4DE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W ramach kryterium weryfikowane będzie: </w:t>
            </w:r>
          </w:p>
          <w:p w14:paraId="73A47957"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wydatki zostały/zostaną poniesione w okresie kwalifikowalności wydatków? tj. czy w przypadku wydatków już poniesionych, żaden z wydatków nie został poniesiony przed 1 stycznia 2021?  </w:t>
            </w:r>
          </w:p>
          <w:p w14:paraId="07CFFF30"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 xml:space="preserve">czy w przypadku wydatków zaplanowanych do poniesienia, zostaną one poniesione najpóźniej 31 </w:t>
            </w:r>
            <w:r w:rsidRPr="00E10945">
              <w:rPr>
                <w:rFonts w:ascii="Arial" w:eastAsia="Times New Roman" w:hAnsi="Arial" w:cs="Arial"/>
                <w:sz w:val="24"/>
                <w:szCs w:val="24"/>
                <w:lang w:eastAsia="pl-PL"/>
              </w:rPr>
              <w:t>grudnia 2029 r.  </w:t>
            </w:r>
          </w:p>
          <w:p w14:paraId="517D7C39"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561381DA"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czy wydatki są logicznie </w:t>
            </w:r>
            <w:r w:rsidRPr="00E10945">
              <w:rPr>
                <w:rFonts w:ascii="Arial" w:eastAsia="Times New Roman" w:hAnsi="Arial" w:cs="Arial"/>
                <w:color w:val="000000"/>
                <w:sz w:val="24"/>
                <w:szCs w:val="24"/>
                <w:lang w:eastAsia="pl-PL"/>
              </w:rPr>
              <w:t>powiązane i wynikają z zaplanowanych prac? </w:t>
            </w:r>
          </w:p>
          <w:p w14:paraId="45697EA8"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 ramach zadań dotyczących kosztów bezpośrednich nie ujęto wydatków stanowiących koszty pośrednie? </w:t>
            </w:r>
          </w:p>
          <w:p w14:paraId="7B2CD389"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wybrano poprawną kategorię kosztu? </w:t>
            </w:r>
          </w:p>
          <w:p w14:paraId="01BC2D2D"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lastRenderedPageBreak/>
              <w:t>czy poprawnie wskazano kategorię limitowaną przy poszczególnych wydatkach? </w:t>
            </w:r>
          </w:p>
          <w:p w14:paraId="2B1DDB4F"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wydatki nie przekraczają limitów (w przypadku obowiązywania limitu; dotyczy także kosztów pośrednich)? </w:t>
            </w:r>
          </w:p>
          <w:p w14:paraId="337335E0" w14:textId="77777777" w:rsidR="00812367" w:rsidRPr="00E10945" w:rsidRDefault="00812367" w:rsidP="006B59F6">
            <w:pPr>
              <w:numPr>
                <w:ilvl w:val="0"/>
                <w:numId w:val="10"/>
              </w:numPr>
              <w:spacing w:before="100" w:beforeAutospacing="1" w:after="100" w:afterAutospacing="1" w:line="276" w:lineRule="auto"/>
              <w:ind w:left="75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65E6AA7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5D276EA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4CCBDB9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p w14:paraId="43B35C03"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Kwalifikowalność oceniana będzie na podstawie dokumentów obowiązujących w momencie ogłoszenia naboru. Po wyborze do dofinansowania, stosowanie będą zapisy dokumentu, obowiązującego na moment ponoszenia wydatku.  </w:t>
            </w:r>
          </w:p>
        </w:tc>
        <w:tc>
          <w:tcPr>
            <w:tcW w:w="1721" w:type="dxa"/>
            <w:hideMark/>
          </w:tcPr>
          <w:p w14:paraId="52DDAF1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66794ADD" w14:textId="77777777" w:rsidTr="006B59F6">
        <w:trPr>
          <w:trHeight w:val="300"/>
        </w:trPr>
        <w:tc>
          <w:tcPr>
            <w:tcW w:w="988" w:type="dxa"/>
            <w:hideMark/>
          </w:tcPr>
          <w:p w14:paraId="48FC4610"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1118BDB0"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Poprawność określenia poziomu dofinansowania oraz kosztów projektu (badane na moment składania wniosku) </w:t>
            </w:r>
          </w:p>
        </w:tc>
        <w:tc>
          <w:tcPr>
            <w:tcW w:w="5685" w:type="dxa"/>
            <w:hideMark/>
          </w:tcPr>
          <w:p w14:paraId="7D31D5A9" w14:textId="77777777" w:rsidR="00812367" w:rsidRPr="00E10945" w:rsidRDefault="00812367" w:rsidP="006B59F6">
            <w:pPr>
              <w:spacing w:before="100" w:beforeAutospacing="1" w:after="100" w:afterAutospacing="1"/>
              <w:ind w:left="48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W ramach kryterium weryfikowane będzie: </w:t>
            </w:r>
          </w:p>
          <w:p w14:paraId="7BDEB498"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prawidłowo określił minimalny wkład własny jako % wydatków kwalifikowalnych (jeśli określono w regulaminie wyboru projektów)?  </w:t>
            </w:r>
          </w:p>
          <w:p w14:paraId="29C32355"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prawidłowo określił minimalną i maksymalną wartość projektu (jeśli określono w regulaminie wyboru projektów)?  </w:t>
            </w:r>
          </w:p>
          <w:p w14:paraId="3E2F2DF3"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 xml:space="preserve">czy wnioskodawca prawidłowo określił minimalną i maksymalną wartość wydatków kwalifikowalnych projektu (jeśli </w:t>
            </w:r>
            <w:r w:rsidRPr="00E10945">
              <w:rPr>
                <w:rFonts w:ascii="Arial" w:eastAsia="Times New Roman" w:hAnsi="Arial" w:cs="Arial"/>
                <w:color w:val="000000"/>
                <w:sz w:val="24"/>
                <w:szCs w:val="24"/>
                <w:lang w:eastAsia="pl-PL"/>
              </w:rPr>
              <w:lastRenderedPageBreak/>
              <w:t>określono w regulaminie wyboru projektów)? </w:t>
            </w:r>
          </w:p>
          <w:p w14:paraId="3302945A"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050208B5"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wnioskowane dofinansowanie nie przekracza alokacji przeznaczonej na nabór/maksymalnej kwoty dofinansowania dla projektu wskazanej w regulaminie (na moment złożenia wniosku)?  </w:t>
            </w:r>
          </w:p>
          <w:p w14:paraId="3A14AA39" w14:textId="77777777" w:rsidR="00812367" w:rsidRPr="00E10945" w:rsidRDefault="00812367" w:rsidP="006B59F6">
            <w:pPr>
              <w:numPr>
                <w:ilvl w:val="0"/>
                <w:numId w:val="11"/>
              </w:numPr>
              <w:spacing w:before="100" w:beforeAutospacing="1" w:after="100" w:afterAutospacing="1" w:line="276" w:lineRule="auto"/>
              <w:ind w:left="930"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poprawnie wskazano źródło finansowania wkładu własnego?  </w:t>
            </w:r>
          </w:p>
        </w:tc>
        <w:tc>
          <w:tcPr>
            <w:tcW w:w="2020" w:type="dxa"/>
            <w:hideMark/>
          </w:tcPr>
          <w:p w14:paraId="45D3157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4DEB3804"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53D0DDB9"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0ED6EE1B"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r w:rsidR="00812367" w:rsidRPr="00E10945" w14:paraId="4E666165" w14:textId="77777777" w:rsidTr="006B59F6">
        <w:trPr>
          <w:trHeight w:val="300"/>
        </w:trPr>
        <w:tc>
          <w:tcPr>
            <w:tcW w:w="988" w:type="dxa"/>
            <w:hideMark/>
          </w:tcPr>
          <w:p w14:paraId="5639DDF2" w14:textId="77777777" w:rsidR="00812367" w:rsidRPr="00E10945" w:rsidRDefault="00812367" w:rsidP="006B59F6">
            <w:pPr>
              <w:numPr>
                <w:ilvl w:val="0"/>
                <w:numId w:val="16"/>
              </w:numPr>
              <w:spacing w:before="100" w:beforeAutospacing="1" w:after="100" w:afterAutospacing="1" w:line="276" w:lineRule="auto"/>
              <w:jc w:val="center"/>
              <w:textAlignment w:val="baseline"/>
              <w:rPr>
                <w:rFonts w:ascii="Arial" w:eastAsia="Times New Roman" w:hAnsi="Arial" w:cs="Arial"/>
                <w:sz w:val="24"/>
                <w:szCs w:val="24"/>
                <w:lang w:eastAsia="pl-PL"/>
              </w:rPr>
            </w:pPr>
          </w:p>
        </w:tc>
        <w:tc>
          <w:tcPr>
            <w:tcW w:w="2075" w:type="dxa"/>
            <w:hideMark/>
          </w:tcPr>
          <w:p w14:paraId="050468B5"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Poprawność doboru wskaźników projektu oraz ich wartości </w:t>
            </w:r>
          </w:p>
        </w:tc>
        <w:tc>
          <w:tcPr>
            <w:tcW w:w="5685" w:type="dxa"/>
            <w:hideMark/>
          </w:tcPr>
          <w:p w14:paraId="1531886D" w14:textId="77777777" w:rsidR="00812367" w:rsidRPr="00E10945" w:rsidRDefault="00812367" w:rsidP="006B59F6">
            <w:pPr>
              <w:spacing w:before="100" w:beforeAutospacing="1" w:after="100" w:afterAutospacing="1"/>
              <w:ind w:left="480" w:hanging="465"/>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W ramach kryterium weryfikowane będzie: </w:t>
            </w:r>
          </w:p>
          <w:p w14:paraId="284B7891" w14:textId="77777777" w:rsidR="00812367" w:rsidRPr="00E10945" w:rsidRDefault="00812367" w:rsidP="006B59F6">
            <w:pPr>
              <w:numPr>
                <w:ilvl w:val="0"/>
                <w:numId w:val="12"/>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wskaźniki zostały dobrane odpowiednio do zakresu i efektów projektu?  </w:t>
            </w:r>
          </w:p>
          <w:p w14:paraId="725D2AA4" w14:textId="77777777" w:rsidR="00812367" w:rsidRPr="00E10945" w:rsidRDefault="00812367" w:rsidP="006B59F6">
            <w:pPr>
              <w:numPr>
                <w:ilvl w:val="0"/>
                <w:numId w:val="12"/>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7B39B8DB" w14:textId="77777777" w:rsidR="00812367" w:rsidRPr="00E10945" w:rsidRDefault="00812367" w:rsidP="006B59F6">
            <w:pPr>
              <w:numPr>
                <w:ilvl w:val="0"/>
                <w:numId w:val="12"/>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lastRenderedPageBreak/>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70759D52" w14:textId="77777777" w:rsidR="00812367" w:rsidRPr="00E10945" w:rsidRDefault="00812367" w:rsidP="006B59F6">
            <w:pPr>
              <w:numPr>
                <w:ilvl w:val="0"/>
                <w:numId w:val="12"/>
              </w:numPr>
              <w:spacing w:before="100" w:beforeAutospacing="1" w:after="100" w:afterAutospacing="1" w:line="276" w:lineRule="auto"/>
              <w:ind w:left="735" w:firstLine="0"/>
              <w:textAlignment w:val="baseline"/>
              <w:rPr>
                <w:rFonts w:ascii="Arial" w:eastAsia="Times New Roman" w:hAnsi="Arial" w:cs="Arial"/>
                <w:sz w:val="24"/>
                <w:szCs w:val="24"/>
                <w:lang w:eastAsia="pl-PL"/>
              </w:rPr>
            </w:pPr>
            <w:r w:rsidRPr="00E10945">
              <w:rPr>
                <w:rFonts w:ascii="Arial" w:eastAsia="Times New Roman" w:hAnsi="Arial" w:cs="Arial"/>
                <w:color w:val="000000"/>
                <w:sz w:val="24"/>
                <w:szCs w:val="24"/>
                <w:lang w:eastAsia="pl-PL"/>
              </w:rPr>
              <w:t>Czy informacje dot. wskaźników zawarte we wniosku i załącznikach są spójne? </w:t>
            </w:r>
          </w:p>
        </w:tc>
        <w:tc>
          <w:tcPr>
            <w:tcW w:w="2020" w:type="dxa"/>
            <w:hideMark/>
          </w:tcPr>
          <w:p w14:paraId="6B21450D"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TAK </w:t>
            </w:r>
          </w:p>
          <w:p w14:paraId="76630412"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Kryterium podlega uzupełnieniu </w:t>
            </w:r>
          </w:p>
        </w:tc>
        <w:tc>
          <w:tcPr>
            <w:tcW w:w="1560" w:type="dxa"/>
            <w:hideMark/>
          </w:tcPr>
          <w:p w14:paraId="4FA02C96"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0/1 </w:t>
            </w:r>
          </w:p>
        </w:tc>
        <w:tc>
          <w:tcPr>
            <w:tcW w:w="1721" w:type="dxa"/>
            <w:hideMark/>
          </w:tcPr>
          <w:p w14:paraId="4EDB4EAF" w14:textId="77777777" w:rsidR="00812367" w:rsidRPr="00E10945" w:rsidRDefault="00812367" w:rsidP="006B59F6">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 </w:t>
            </w:r>
          </w:p>
        </w:tc>
      </w:tr>
    </w:tbl>
    <w:p w14:paraId="48B34704" w14:textId="647630F3" w:rsidR="00812367" w:rsidRPr="00E10945" w:rsidRDefault="006B59F6" w:rsidP="00812367">
      <w:pPr>
        <w:pStyle w:val="Nagwek1"/>
        <w:rPr>
          <w:rFonts w:ascii="Arial" w:hAnsi="Arial" w:cs="Arial"/>
          <w:i/>
          <w:szCs w:val="24"/>
        </w:rPr>
      </w:pPr>
      <w:r>
        <w:rPr>
          <w:rFonts w:ascii="Arial" w:hAnsi="Arial" w:cs="Arial"/>
          <w:szCs w:val="24"/>
        </w:rPr>
        <w:lastRenderedPageBreak/>
        <w:br w:type="textWrapping" w:clear="all"/>
      </w:r>
      <w:r w:rsidR="00812367" w:rsidRPr="00E10945">
        <w:rPr>
          <w:rFonts w:ascii="Arial" w:hAnsi="Arial" w:cs="Arial"/>
          <w:szCs w:val="24"/>
        </w:rPr>
        <w:t>Tabela 2. Kryteria formalne specyficzne</w:t>
      </w:r>
    </w:p>
    <w:tbl>
      <w:tblPr>
        <w:tblStyle w:val="Tabela-Siatka"/>
        <w:tblW w:w="13708" w:type="dxa"/>
        <w:tblLook w:val="04A0" w:firstRow="1" w:lastRow="0" w:firstColumn="1" w:lastColumn="0" w:noHBand="0" w:noVBand="1"/>
        <w:tblCaption w:val="Kryteria formalne specyficzne"/>
        <w:tblDescription w:val="Tabela 2. Zestawienie kryteriów formalnych specyficznych dla działania 2.12"/>
      </w:tblPr>
      <w:tblGrid>
        <w:gridCol w:w="974"/>
        <w:gridCol w:w="3153"/>
        <w:gridCol w:w="4262"/>
        <w:gridCol w:w="2014"/>
        <w:gridCol w:w="1782"/>
        <w:gridCol w:w="1523"/>
      </w:tblGrid>
      <w:tr w:rsidR="006B59F6" w:rsidRPr="006D7B99" w14:paraId="3251427B" w14:textId="78F1E996" w:rsidTr="006B59F6">
        <w:trPr>
          <w:tblHeader/>
        </w:trPr>
        <w:tc>
          <w:tcPr>
            <w:tcW w:w="982" w:type="dxa"/>
            <w:shd w:val="clear" w:color="auto" w:fill="BFBFBF" w:themeFill="background1" w:themeFillShade="BF"/>
          </w:tcPr>
          <w:p w14:paraId="20B850CD" w14:textId="77777777" w:rsidR="006B59F6" w:rsidRPr="006D7B99" w:rsidRDefault="006B59F6" w:rsidP="002648A7">
            <w:pPr>
              <w:pStyle w:val="Akapitzlist"/>
              <w:ind w:left="22"/>
              <w:rPr>
                <w:rFonts w:ascii="Arial" w:hAnsi="Arial" w:cs="Arial"/>
                <w:b/>
              </w:rPr>
            </w:pPr>
            <w:r w:rsidRPr="006D7B99">
              <w:rPr>
                <w:rFonts w:ascii="Arial" w:hAnsi="Arial" w:cs="Arial"/>
                <w:b/>
              </w:rPr>
              <w:t>L.p.</w:t>
            </w:r>
          </w:p>
        </w:tc>
        <w:tc>
          <w:tcPr>
            <w:tcW w:w="3234" w:type="dxa"/>
            <w:shd w:val="clear" w:color="auto" w:fill="BFBFBF" w:themeFill="background1" w:themeFillShade="BF"/>
          </w:tcPr>
          <w:p w14:paraId="5A0094F9" w14:textId="77777777" w:rsidR="006B59F6" w:rsidRPr="006D7B99" w:rsidRDefault="006B59F6" w:rsidP="002648A7">
            <w:pPr>
              <w:rPr>
                <w:rFonts w:ascii="Arial" w:hAnsi="Arial" w:cs="Arial"/>
                <w:b/>
              </w:rPr>
            </w:pPr>
            <w:r w:rsidRPr="006D7B99">
              <w:rPr>
                <w:rFonts w:ascii="Arial" w:hAnsi="Arial" w:cs="Arial"/>
                <w:b/>
              </w:rPr>
              <w:t>Nazwa kryterium</w:t>
            </w:r>
          </w:p>
        </w:tc>
        <w:tc>
          <w:tcPr>
            <w:tcW w:w="4426" w:type="dxa"/>
            <w:shd w:val="clear" w:color="auto" w:fill="BFBFBF" w:themeFill="background1" w:themeFillShade="BF"/>
          </w:tcPr>
          <w:p w14:paraId="635FFFC1" w14:textId="77777777" w:rsidR="006B59F6" w:rsidRPr="006D7B99" w:rsidRDefault="006B59F6" w:rsidP="002648A7">
            <w:pPr>
              <w:rPr>
                <w:rFonts w:ascii="Arial" w:hAnsi="Arial" w:cs="Arial"/>
                <w:b/>
              </w:rPr>
            </w:pPr>
            <w:r w:rsidRPr="006D7B99">
              <w:rPr>
                <w:rFonts w:ascii="Arial" w:hAnsi="Arial" w:cs="Arial"/>
                <w:b/>
              </w:rPr>
              <w:t>Definicja kryterium</w:t>
            </w:r>
          </w:p>
        </w:tc>
        <w:tc>
          <w:tcPr>
            <w:tcW w:w="2014" w:type="dxa"/>
            <w:shd w:val="clear" w:color="auto" w:fill="BFBFBF" w:themeFill="background1" w:themeFillShade="BF"/>
          </w:tcPr>
          <w:p w14:paraId="74E36D25" w14:textId="77777777" w:rsidR="006B59F6" w:rsidRPr="006D7B99" w:rsidRDefault="006B59F6" w:rsidP="002648A7">
            <w:pPr>
              <w:rPr>
                <w:rFonts w:ascii="Arial" w:hAnsi="Arial" w:cs="Arial"/>
                <w:b/>
              </w:rPr>
            </w:pPr>
            <w:r w:rsidRPr="006D7B99">
              <w:rPr>
                <w:rFonts w:ascii="Arial" w:hAnsi="Arial" w:cs="Arial"/>
                <w:b/>
              </w:rPr>
              <w:t>Czy spełnienie kryterium jest konieczne do przyznania dofinansowania?</w:t>
            </w:r>
          </w:p>
        </w:tc>
        <w:tc>
          <w:tcPr>
            <w:tcW w:w="1813" w:type="dxa"/>
            <w:shd w:val="clear" w:color="auto" w:fill="BFBFBF" w:themeFill="background1" w:themeFillShade="BF"/>
          </w:tcPr>
          <w:p w14:paraId="53DF2312" w14:textId="77777777" w:rsidR="006B59F6" w:rsidRPr="006D7B99" w:rsidRDefault="006B59F6" w:rsidP="002648A7">
            <w:pPr>
              <w:rPr>
                <w:rFonts w:ascii="Arial" w:hAnsi="Arial" w:cs="Arial"/>
                <w:b/>
              </w:rPr>
            </w:pPr>
            <w:r w:rsidRPr="006D7B99">
              <w:rPr>
                <w:rFonts w:ascii="Arial" w:hAnsi="Arial" w:cs="Arial"/>
                <w:b/>
              </w:rPr>
              <w:t>Sposób oceny kryterium</w:t>
            </w:r>
          </w:p>
        </w:tc>
        <w:tc>
          <w:tcPr>
            <w:tcW w:w="1239" w:type="dxa"/>
            <w:shd w:val="clear" w:color="auto" w:fill="BFBFBF" w:themeFill="background1" w:themeFillShade="BF"/>
          </w:tcPr>
          <w:p w14:paraId="739B2264" w14:textId="2303A52C" w:rsidR="006B59F6" w:rsidRPr="006D7B99" w:rsidRDefault="006B59F6" w:rsidP="002648A7">
            <w:pPr>
              <w:rPr>
                <w:rFonts w:ascii="Arial" w:hAnsi="Arial" w:cs="Arial"/>
                <w:b/>
              </w:rPr>
            </w:pPr>
            <w:r w:rsidRPr="00E10945">
              <w:rPr>
                <w:rFonts w:ascii="Arial" w:hAnsi="Arial" w:cs="Arial"/>
                <w:b/>
                <w:sz w:val="24"/>
                <w:szCs w:val="24"/>
              </w:rPr>
              <w:t>Szczególne znaczenie kryterium</w:t>
            </w:r>
          </w:p>
        </w:tc>
      </w:tr>
      <w:tr w:rsidR="006B59F6" w:rsidRPr="006D7B99" w14:paraId="27D32077" w14:textId="25B27B24" w:rsidTr="006B59F6">
        <w:trPr>
          <w:trHeight w:val="2302"/>
        </w:trPr>
        <w:tc>
          <w:tcPr>
            <w:tcW w:w="982" w:type="dxa"/>
          </w:tcPr>
          <w:p w14:paraId="72703376" w14:textId="77777777" w:rsidR="006B59F6" w:rsidRPr="006D7B99" w:rsidRDefault="006B59F6" w:rsidP="00812367">
            <w:pPr>
              <w:pStyle w:val="Akapitzlist"/>
              <w:numPr>
                <w:ilvl w:val="0"/>
                <w:numId w:val="18"/>
              </w:numPr>
              <w:spacing w:after="0"/>
              <w:ind w:left="452"/>
              <w:rPr>
                <w:rFonts w:ascii="Arial" w:hAnsi="Arial" w:cs="Arial"/>
              </w:rPr>
            </w:pPr>
          </w:p>
        </w:tc>
        <w:tc>
          <w:tcPr>
            <w:tcW w:w="3234" w:type="dxa"/>
          </w:tcPr>
          <w:p w14:paraId="55731A58" w14:textId="77777777" w:rsidR="006B59F6" w:rsidRPr="006D7B99" w:rsidRDefault="006B59F6" w:rsidP="002648A7">
            <w:pPr>
              <w:spacing w:before="100" w:beforeAutospacing="1" w:after="100" w:afterAutospacing="1"/>
              <w:textAlignment w:val="baseline"/>
              <w:rPr>
                <w:rFonts w:ascii="Arial" w:hAnsi="Arial" w:cs="Arial"/>
              </w:rPr>
            </w:pPr>
            <w:r w:rsidRPr="452B79A1">
              <w:rPr>
                <w:rFonts w:ascii="Arial" w:hAnsi="Arial" w:cs="Arial"/>
                <w:lang w:eastAsia="pl-PL"/>
              </w:rPr>
              <w:t>Projekt jest uwzględniony w planie inwestycyjnym w zakresie gospodarki odpada</w:t>
            </w:r>
            <w:r>
              <w:rPr>
                <w:rFonts w:ascii="Arial" w:hAnsi="Arial" w:cs="Arial"/>
                <w:lang w:eastAsia="pl-PL"/>
              </w:rPr>
              <w:t>mi stanowiącym załącznik do Wojewódzkiego Planu Gospodarki Odpadami</w:t>
            </w:r>
            <w:r w:rsidRPr="452B79A1">
              <w:rPr>
                <w:rFonts w:ascii="Arial" w:hAnsi="Arial" w:cs="Arial"/>
                <w:lang w:eastAsia="pl-PL"/>
              </w:rPr>
              <w:t xml:space="preserve"> (warunek nie dotyczy PSZOK będącego elementem szerszego projektu dot. instalacji).</w:t>
            </w:r>
          </w:p>
        </w:tc>
        <w:tc>
          <w:tcPr>
            <w:tcW w:w="4426" w:type="dxa"/>
          </w:tcPr>
          <w:p w14:paraId="3BC69223" w14:textId="77777777" w:rsidR="006B59F6" w:rsidRDefault="006B59F6" w:rsidP="002648A7">
            <w:pPr>
              <w:jc w:val="both"/>
              <w:rPr>
                <w:rFonts w:ascii="Arial" w:hAnsi="Arial" w:cs="Arial"/>
                <w:color w:val="000000" w:themeColor="text1"/>
                <w:lang w:eastAsia="pl-PL"/>
              </w:rPr>
            </w:pPr>
            <w:r w:rsidRPr="00105156">
              <w:rPr>
                <w:rFonts w:ascii="Arial" w:hAnsi="Arial" w:cs="Arial"/>
                <w:color w:val="000000" w:themeColor="text1"/>
                <w:lang w:eastAsia="pl-PL"/>
              </w:rPr>
              <w:t>Wsparcie projektu z zakresu gospodarki odpadami komunalnymi ze środków FE SL 2021-2027 będzie możliwe w przypadku, gdy będzie on figurował w planie inwestycyjnym, zatwierdzonym przez ministra właściwego ds. środowisk</w:t>
            </w:r>
            <w:r>
              <w:rPr>
                <w:rFonts w:ascii="Arial" w:hAnsi="Arial" w:cs="Arial"/>
                <w:color w:val="000000" w:themeColor="text1"/>
                <w:lang w:eastAsia="pl-PL"/>
              </w:rPr>
              <w:t>a, stanowiącym załącznik do Wojewódzkiego Planu Gospodarki Odpadami</w:t>
            </w:r>
            <w:r w:rsidRPr="00105156">
              <w:rPr>
                <w:rFonts w:ascii="Arial" w:hAnsi="Arial" w:cs="Arial"/>
                <w:color w:val="000000" w:themeColor="text1"/>
                <w:lang w:eastAsia="pl-PL"/>
              </w:rPr>
              <w:t xml:space="preserve">, aktualnym na dzień ogłoszenia naboru. </w:t>
            </w:r>
          </w:p>
          <w:p w14:paraId="167BD8D2" w14:textId="77777777" w:rsidR="006B59F6" w:rsidRPr="00105156" w:rsidRDefault="006B59F6" w:rsidP="00E9152E">
            <w:pPr>
              <w:spacing w:before="240"/>
              <w:jc w:val="both"/>
              <w:rPr>
                <w:rFonts w:ascii="Arial" w:eastAsia="Arial" w:hAnsi="Arial" w:cs="Arial"/>
                <w:color w:val="0078D4"/>
              </w:rPr>
            </w:pPr>
            <w:r w:rsidRPr="750C4789">
              <w:rPr>
                <w:rFonts w:ascii="Arial" w:hAnsi="Arial" w:cs="Arial"/>
                <w:color w:val="000000" w:themeColor="text1"/>
                <w:lang w:eastAsia="pl-PL"/>
              </w:rPr>
              <w:t>Ob</w:t>
            </w:r>
            <w:r w:rsidRPr="009A359B">
              <w:rPr>
                <w:rFonts w:ascii="Arial" w:hAnsi="Arial" w:cs="Arial"/>
                <w:lang w:eastAsia="pl-PL"/>
              </w:rPr>
              <w:t xml:space="preserve">owiązek </w:t>
            </w:r>
            <w:r w:rsidRPr="750C4789">
              <w:rPr>
                <w:rFonts w:ascii="Arial" w:hAnsi="Arial" w:cs="Arial"/>
                <w:color w:val="000000" w:themeColor="text1"/>
                <w:lang w:eastAsia="pl-PL"/>
              </w:rPr>
              <w:t xml:space="preserve">sporządzenia  ww. planu wynika z </w:t>
            </w:r>
            <w:r w:rsidRPr="750C4789">
              <w:rPr>
                <w:rFonts w:ascii="Arial" w:eastAsia="Arial" w:hAnsi="Arial" w:cs="Arial"/>
                <w:color w:val="0078D4"/>
              </w:rPr>
              <w:t xml:space="preserve"> </w:t>
            </w:r>
            <w:r w:rsidRPr="009A359B">
              <w:rPr>
                <w:rFonts w:ascii="Arial" w:hAnsi="Arial" w:cs="Arial"/>
                <w:color w:val="000000" w:themeColor="text1"/>
                <w:lang w:eastAsia="pl-PL"/>
              </w:rPr>
              <w:t>art. 35a ustawy z dni</w:t>
            </w:r>
            <w:r>
              <w:rPr>
                <w:rFonts w:ascii="Arial" w:hAnsi="Arial" w:cs="Arial"/>
                <w:color w:val="000000" w:themeColor="text1"/>
                <w:lang w:eastAsia="pl-PL"/>
              </w:rPr>
              <w:t>a 14 grudnia 2012 r. o odpadach.</w:t>
            </w:r>
          </w:p>
          <w:p w14:paraId="49CA5FA8" w14:textId="77777777" w:rsidR="006B59F6" w:rsidRDefault="006B59F6" w:rsidP="00E9152E">
            <w:pPr>
              <w:spacing w:before="240"/>
              <w:rPr>
                <w:rFonts w:ascii="Arial" w:hAnsi="Arial" w:cs="Arial"/>
                <w:color w:val="000000" w:themeColor="text1"/>
                <w:lang w:eastAsia="pl-PL"/>
              </w:rPr>
            </w:pPr>
            <w:r w:rsidRPr="452B79A1">
              <w:rPr>
                <w:rFonts w:ascii="Arial" w:hAnsi="Arial" w:cs="Arial"/>
                <w:color w:val="000000" w:themeColor="text1"/>
                <w:lang w:eastAsia="pl-PL"/>
              </w:rPr>
              <w:t>Weryfikacja uwzględnienia projektu z planem inwestycyjnym: stwierdzenie czy projekt jest ujęty w planie inwestycyjnym oraz czy wielkości wykazane w projekcie odpowiadają parametrom określonym w planie inwestycyjny</w:t>
            </w:r>
            <w:r w:rsidRPr="452B79A1">
              <w:rPr>
                <w:rFonts w:ascii="Arial" w:hAnsi="Arial" w:cs="Arial"/>
                <w:lang w:eastAsia="pl-PL"/>
              </w:rPr>
              <w:t>m. W przypadku gdy elementem zakresu projektu będzie również budowa lub modernizacja PSZOK, nie będzie</w:t>
            </w:r>
            <w:r>
              <w:rPr>
                <w:rFonts w:ascii="Arial" w:hAnsi="Arial" w:cs="Arial"/>
                <w:lang w:eastAsia="pl-PL"/>
              </w:rPr>
              <w:t xml:space="preserve"> wymagane wynikanie </w:t>
            </w:r>
            <w:r>
              <w:rPr>
                <w:rFonts w:ascii="Arial" w:hAnsi="Arial" w:cs="Arial"/>
                <w:lang w:eastAsia="pl-PL"/>
              </w:rPr>
              <w:lastRenderedPageBreak/>
              <w:t>PSZOK z Wojewódzkiego Planu Gospodarki Odpadami</w:t>
            </w:r>
            <w:r w:rsidRPr="452B79A1">
              <w:rPr>
                <w:rFonts w:ascii="Arial" w:hAnsi="Arial" w:cs="Arial"/>
                <w:lang w:eastAsia="pl-PL"/>
              </w:rPr>
              <w:t xml:space="preserve">. </w:t>
            </w:r>
          </w:p>
          <w:p w14:paraId="73C479C2" w14:textId="77777777" w:rsidR="006B59F6" w:rsidRPr="006D7B99" w:rsidRDefault="006B59F6" w:rsidP="002648A7">
            <w:pPr>
              <w:rPr>
                <w:rFonts w:ascii="Arial" w:hAnsi="Arial" w:cs="Arial"/>
              </w:rPr>
            </w:pPr>
            <w:r w:rsidRPr="00105156">
              <w:rPr>
                <w:rFonts w:ascii="Arial" w:hAnsi="Arial" w:cs="Arial"/>
                <w:color w:val="000000" w:themeColor="text1"/>
                <w:lang w:eastAsia="pl-PL"/>
              </w:rPr>
              <w:t>Weryfikacja zgodności odbywa się w odniesieniu do założeń projektu przyjętych na dzień złożenia wniosku o dofinansowanie.</w:t>
            </w:r>
          </w:p>
        </w:tc>
        <w:tc>
          <w:tcPr>
            <w:tcW w:w="2014" w:type="dxa"/>
          </w:tcPr>
          <w:p w14:paraId="537FFD7D" w14:textId="77777777" w:rsidR="006B59F6" w:rsidRPr="006D7B99" w:rsidRDefault="006B59F6" w:rsidP="002648A7">
            <w:pPr>
              <w:rPr>
                <w:rFonts w:ascii="Arial" w:hAnsi="Arial" w:cs="Arial"/>
              </w:rPr>
            </w:pPr>
            <w:r w:rsidRPr="006D7B99">
              <w:rPr>
                <w:rFonts w:ascii="Arial" w:hAnsi="Arial" w:cs="Arial"/>
              </w:rPr>
              <w:lastRenderedPageBreak/>
              <w:t>TAK</w:t>
            </w:r>
          </w:p>
          <w:p w14:paraId="702C818B" w14:textId="77777777" w:rsidR="006B59F6" w:rsidRPr="006D7B99" w:rsidRDefault="006B59F6" w:rsidP="002648A7">
            <w:pPr>
              <w:rPr>
                <w:rFonts w:ascii="Arial" w:hAnsi="Arial" w:cs="Arial"/>
              </w:rPr>
            </w:pPr>
            <w:r>
              <w:rPr>
                <w:rFonts w:ascii="Arial" w:hAnsi="Arial" w:cs="Arial"/>
              </w:rPr>
              <w:t>Kryterium podlega uzupełnieniu</w:t>
            </w:r>
            <w:r w:rsidRPr="00105156">
              <w:rPr>
                <w:rFonts w:ascii="Arial" w:hAnsi="Arial" w:cs="Arial"/>
              </w:rPr>
              <w:t xml:space="preserve">  </w:t>
            </w:r>
          </w:p>
        </w:tc>
        <w:tc>
          <w:tcPr>
            <w:tcW w:w="1813" w:type="dxa"/>
          </w:tcPr>
          <w:p w14:paraId="1857B11B" w14:textId="77777777" w:rsidR="006B59F6" w:rsidRDefault="006B59F6" w:rsidP="002648A7">
            <w:pPr>
              <w:rPr>
                <w:rFonts w:ascii="Arial" w:hAnsi="Arial" w:cs="Arial"/>
              </w:rPr>
            </w:pPr>
            <w:r w:rsidRPr="006D7B99">
              <w:rPr>
                <w:rFonts w:ascii="Arial" w:hAnsi="Arial" w:cs="Arial"/>
              </w:rPr>
              <w:t>0/1</w:t>
            </w:r>
          </w:p>
          <w:p w14:paraId="33332FA3" w14:textId="0B4C1C30"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7672A93B" w14:textId="4DB747D9" w:rsidR="006B59F6" w:rsidRPr="006D7B99" w:rsidRDefault="006B59F6" w:rsidP="00E9152E">
            <w:pPr>
              <w:spacing w:before="240"/>
              <w:rPr>
                <w:rFonts w:ascii="Arial" w:hAnsi="Arial" w:cs="Arial"/>
              </w:rPr>
            </w:pPr>
            <w:r w:rsidRPr="00B4224A">
              <w:rPr>
                <w:rFonts w:ascii="Arial" w:eastAsia="Times New Roman" w:hAnsi="Arial" w:cs="Arial"/>
                <w:sz w:val="24"/>
                <w:szCs w:val="24"/>
                <w:lang w:eastAsia="pl-PL"/>
              </w:rPr>
              <w:t>0 pkt – nie spełnia kryterium – ocena negatywna</w:t>
            </w:r>
          </w:p>
        </w:tc>
        <w:tc>
          <w:tcPr>
            <w:tcW w:w="1239" w:type="dxa"/>
          </w:tcPr>
          <w:p w14:paraId="4B2AD065" w14:textId="77777777" w:rsidR="006B59F6" w:rsidRPr="006D7B99" w:rsidRDefault="006B59F6" w:rsidP="002648A7">
            <w:pPr>
              <w:rPr>
                <w:rFonts w:ascii="Arial" w:hAnsi="Arial" w:cs="Arial"/>
              </w:rPr>
            </w:pPr>
          </w:p>
        </w:tc>
      </w:tr>
      <w:tr w:rsidR="006B59F6" w:rsidRPr="006D7B99" w14:paraId="5A0D4B4F" w14:textId="6121094C" w:rsidTr="006B59F6">
        <w:trPr>
          <w:trHeight w:val="2302"/>
        </w:trPr>
        <w:tc>
          <w:tcPr>
            <w:tcW w:w="982" w:type="dxa"/>
          </w:tcPr>
          <w:p w14:paraId="69913B96" w14:textId="77777777" w:rsidR="006B59F6" w:rsidRPr="006D7B99" w:rsidRDefault="006B59F6" w:rsidP="00812367">
            <w:pPr>
              <w:pStyle w:val="Akapitzlist"/>
              <w:numPr>
                <w:ilvl w:val="0"/>
                <w:numId w:val="18"/>
              </w:numPr>
              <w:spacing w:after="0"/>
              <w:ind w:left="452"/>
              <w:rPr>
                <w:rFonts w:ascii="Arial" w:hAnsi="Arial" w:cs="Arial"/>
              </w:rPr>
            </w:pPr>
          </w:p>
        </w:tc>
        <w:tc>
          <w:tcPr>
            <w:tcW w:w="3234" w:type="dxa"/>
            <w:tcBorders>
              <w:top w:val="single" w:sz="6" w:space="0" w:color="auto"/>
              <w:left w:val="single" w:sz="6" w:space="0" w:color="auto"/>
              <w:bottom w:val="single" w:sz="6" w:space="0" w:color="auto"/>
              <w:right w:val="single" w:sz="6" w:space="0" w:color="auto"/>
            </w:tcBorders>
            <w:shd w:val="clear" w:color="auto" w:fill="auto"/>
          </w:tcPr>
          <w:p w14:paraId="03A7D8D7" w14:textId="77777777" w:rsidR="006B59F6" w:rsidRPr="006D7B99" w:rsidRDefault="006B59F6" w:rsidP="002648A7">
            <w:pPr>
              <w:spacing w:before="100" w:beforeAutospacing="1" w:after="100" w:afterAutospacing="1"/>
              <w:textAlignment w:val="baseline"/>
              <w:rPr>
                <w:rFonts w:ascii="Arial" w:hAnsi="Arial" w:cs="Arial"/>
                <w:lang w:eastAsia="pl-PL"/>
              </w:rPr>
            </w:pPr>
            <w:r w:rsidRPr="48247712">
              <w:rPr>
                <w:rFonts w:ascii="Arial" w:hAnsi="Arial" w:cs="Arial"/>
                <w:lang w:eastAsia="pl-PL"/>
              </w:rPr>
              <w:t>Brak wsparcia dla budowy nowych/rozbudowy składowisk odpadów.</w:t>
            </w:r>
          </w:p>
        </w:tc>
        <w:tc>
          <w:tcPr>
            <w:tcW w:w="4426" w:type="dxa"/>
            <w:tcBorders>
              <w:top w:val="single" w:sz="6" w:space="0" w:color="auto"/>
              <w:left w:val="single" w:sz="6" w:space="0" w:color="auto"/>
              <w:bottom w:val="single" w:sz="6" w:space="0" w:color="auto"/>
              <w:right w:val="single" w:sz="6" w:space="0" w:color="auto"/>
            </w:tcBorders>
            <w:shd w:val="clear" w:color="auto" w:fill="auto"/>
          </w:tcPr>
          <w:p w14:paraId="5936606F" w14:textId="77777777" w:rsidR="006B59F6" w:rsidRDefault="006B59F6" w:rsidP="002648A7">
            <w:pPr>
              <w:jc w:val="both"/>
              <w:rPr>
                <w:rFonts w:ascii="Arial" w:hAnsi="Arial" w:cs="Arial"/>
                <w:lang w:eastAsia="pl-PL"/>
              </w:rPr>
            </w:pPr>
            <w:r w:rsidRPr="006D7B99">
              <w:rPr>
                <w:rFonts w:ascii="Arial" w:hAnsi="Arial" w:cs="Arial"/>
                <w:lang w:eastAsia="pl-PL"/>
              </w:rPr>
              <w:t>Nie jest możliwe wsparcie budowy/rozbudowy składowisk odpadów.</w:t>
            </w:r>
          </w:p>
          <w:p w14:paraId="26AB5E75" w14:textId="77777777" w:rsidR="006B59F6" w:rsidRPr="006D7B99" w:rsidRDefault="006B59F6" w:rsidP="00E9152E">
            <w:pPr>
              <w:spacing w:before="240"/>
              <w:jc w:val="both"/>
              <w:rPr>
                <w:rFonts w:ascii="Arial" w:hAnsi="Arial" w:cs="Arial"/>
                <w:lang w:eastAsia="pl-PL"/>
              </w:rPr>
            </w:pPr>
            <w:r>
              <w:rPr>
                <w:rFonts w:ascii="Arial" w:hAnsi="Arial" w:cs="Arial"/>
                <w:lang w:eastAsia="pl-PL"/>
              </w:rPr>
              <w:t>Kryterium uznaje się za spełnione jeśli Wnioskodawca wskaże, że przedmiotem wydatków kwalifikowalnych nie będzie budowa nowych ani rozbudowa składowisk odpadów.</w:t>
            </w:r>
          </w:p>
        </w:tc>
        <w:tc>
          <w:tcPr>
            <w:tcW w:w="2014" w:type="dxa"/>
            <w:tcBorders>
              <w:top w:val="single" w:sz="6" w:space="0" w:color="auto"/>
              <w:left w:val="single" w:sz="6" w:space="0" w:color="auto"/>
              <w:bottom w:val="single" w:sz="6" w:space="0" w:color="auto"/>
              <w:right w:val="single" w:sz="6" w:space="0" w:color="auto"/>
            </w:tcBorders>
            <w:shd w:val="clear" w:color="auto" w:fill="auto"/>
          </w:tcPr>
          <w:p w14:paraId="17536CFF" w14:textId="77777777" w:rsidR="006B59F6" w:rsidRPr="006D7B99" w:rsidRDefault="006B59F6" w:rsidP="002648A7">
            <w:pPr>
              <w:pStyle w:val="paragraph"/>
              <w:textAlignment w:val="baseline"/>
              <w:rPr>
                <w:rFonts w:ascii="Arial" w:hAnsi="Arial" w:cs="Arial"/>
                <w:sz w:val="22"/>
                <w:szCs w:val="22"/>
              </w:rPr>
            </w:pPr>
            <w:r w:rsidRPr="006D7B99">
              <w:rPr>
                <w:rStyle w:val="normaltextrun"/>
                <w:rFonts w:ascii="Arial" w:hAnsi="Arial" w:cs="Arial"/>
                <w:sz w:val="22"/>
                <w:szCs w:val="22"/>
              </w:rPr>
              <w:t>TAK</w:t>
            </w:r>
            <w:r w:rsidRPr="006D7B99">
              <w:rPr>
                <w:rStyle w:val="eop"/>
                <w:rFonts w:ascii="Arial" w:hAnsi="Arial" w:cs="Arial"/>
                <w:sz w:val="22"/>
                <w:szCs w:val="22"/>
              </w:rPr>
              <w:t> </w:t>
            </w:r>
          </w:p>
          <w:p w14:paraId="768938D7" w14:textId="77777777" w:rsidR="006B59F6" w:rsidRPr="006D7B99" w:rsidRDefault="006B59F6" w:rsidP="002648A7">
            <w:pPr>
              <w:rPr>
                <w:rFonts w:ascii="Arial" w:hAnsi="Arial" w:cs="Arial"/>
              </w:rPr>
            </w:pPr>
            <w:r>
              <w:rPr>
                <w:rFonts w:ascii="Arial" w:hAnsi="Arial" w:cs="Arial"/>
              </w:rPr>
              <w:t>Kryterium podlega uzupełnieniu</w:t>
            </w:r>
            <w:r w:rsidRPr="00105156">
              <w:rPr>
                <w:rFonts w:ascii="Arial" w:hAnsi="Arial" w:cs="Arial"/>
              </w:rPr>
              <w:t xml:space="preserve">  </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6540777" w14:textId="77777777" w:rsidR="006B59F6" w:rsidRDefault="006B59F6" w:rsidP="002648A7">
            <w:pPr>
              <w:rPr>
                <w:rStyle w:val="eop"/>
                <w:rFonts w:ascii="Arial" w:hAnsi="Arial" w:cs="Arial"/>
              </w:rPr>
            </w:pPr>
            <w:r w:rsidRPr="006D7B99">
              <w:rPr>
                <w:rStyle w:val="normaltextrun"/>
                <w:rFonts w:ascii="Arial" w:hAnsi="Arial" w:cs="Arial"/>
              </w:rPr>
              <w:t>0/1</w:t>
            </w:r>
            <w:r w:rsidRPr="006D7B99">
              <w:rPr>
                <w:rStyle w:val="eop"/>
                <w:rFonts w:ascii="Arial" w:hAnsi="Arial" w:cs="Arial"/>
              </w:rPr>
              <w:t> </w:t>
            </w:r>
          </w:p>
          <w:p w14:paraId="1254BAAE" w14:textId="702E987B"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095697E1" w14:textId="578A5012" w:rsidR="006B59F6" w:rsidRPr="006D7B99" w:rsidRDefault="006B59F6" w:rsidP="00E9152E">
            <w:pPr>
              <w:spacing w:before="240"/>
              <w:rPr>
                <w:rFonts w:ascii="Arial" w:hAnsi="Arial" w:cs="Arial"/>
              </w:rPr>
            </w:pPr>
            <w:r w:rsidRPr="00B4224A">
              <w:rPr>
                <w:rFonts w:ascii="Arial" w:eastAsia="Times New Roman" w:hAnsi="Arial" w:cs="Arial"/>
                <w:sz w:val="24"/>
                <w:szCs w:val="24"/>
                <w:lang w:eastAsia="pl-PL"/>
              </w:rPr>
              <w:t>0 pkt – nie spełnia kryterium – ocena negatywna</w:t>
            </w:r>
          </w:p>
        </w:tc>
        <w:tc>
          <w:tcPr>
            <w:tcW w:w="1239" w:type="dxa"/>
            <w:tcBorders>
              <w:top w:val="single" w:sz="6" w:space="0" w:color="auto"/>
              <w:left w:val="single" w:sz="6" w:space="0" w:color="auto"/>
              <w:bottom w:val="single" w:sz="6" w:space="0" w:color="auto"/>
              <w:right w:val="single" w:sz="6" w:space="0" w:color="auto"/>
            </w:tcBorders>
          </w:tcPr>
          <w:p w14:paraId="4B6EA152" w14:textId="77777777" w:rsidR="006B59F6" w:rsidRPr="006D7B99" w:rsidRDefault="006B59F6" w:rsidP="002648A7">
            <w:pPr>
              <w:rPr>
                <w:rStyle w:val="normaltextrun"/>
                <w:rFonts w:ascii="Arial" w:hAnsi="Arial" w:cs="Arial"/>
              </w:rPr>
            </w:pPr>
          </w:p>
        </w:tc>
      </w:tr>
      <w:tr w:rsidR="006B59F6" w:rsidRPr="006D7B99" w14:paraId="4E6E5F44" w14:textId="5CD9B376" w:rsidTr="006B59F6">
        <w:trPr>
          <w:trHeight w:val="2302"/>
        </w:trPr>
        <w:tc>
          <w:tcPr>
            <w:tcW w:w="982" w:type="dxa"/>
          </w:tcPr>
          <w:p w14:paraId="4B0EF4DC" w14:textId="77777777" w:rsidR="006B59F6" w:rsidRPr="006D7B99" w:rsidRDefault="006B59F6" w:rsidP="00812367">
            <w:pPr>
              <w:pStyle w:val="Akapitzlist"/>
              <w:numPr>
                <w:ilvl w:val="0"/>
                <w:numId w:val="18"/>
              </w:numPr>
              <w:spacing w:after="0"/>
              <w:ind w:left="452"/>
              <w:rPr>
                <w:rFonts w:ascii="Arial" w:hAnsi="Arial" w:cs="Arial"/>
              </w:rPr>
            </w:pPr>
          </w:p>
        </w:tc>
        <w:tc>
          <w:tcPr>
            <w:tcW w:w="3234" w:type="dxa"/>
            <w:tcBorders>
              <w:top w:val="single" w:sz="6" w:space="0" w:color="auto"/>
              <w:left w:val="single" w:sz="6" w:space="0" w:color="auto"/>
              <w:bottom w:val="single" w:sz="6" w:space="0" w:color="auto"/>
              <w:right w:val="single" w:sz="6" w:space="0" w:color="auto"/>
            </w:tcBorders>
            <w:shd w:val="clear" w:color="auto" w:fill="auto"/>
          </w:tcPr>
          <w:p w14:paraId="17D469A0" w14:textId="77777777" w:rsidR="006B59F6" w:rsidRPr="006D7B99" w:rsidRDefault="006B59F6" w:rsidP="002648A7">
            <w:pPr>
              <w:spacing w:before="100" w:beforeAutospacing="1" w:after="100" w:afterAutospacing="1"/>
              <w:textAlignment w:val="baseline"/>
              <w:rPr>
                <w:rStyle w:val="normaltextrun"/>
                <w:rFonts w:ascii="Arial" w:hAnsi="Arial" w:cs="Arial"/>
              </w:rPr>
            </w:pPr>
            <w:r w:rsidRPr="48247712">
              <w:rPr>
                <w:rFonts w:ascii="Arial" w:hAnsi="Arial" w:cs="Arial"/>
                <w:lang w:eastAsia="pl-PL"/>
              </w:rPr>
              <w:t>Inwestycje w budowę lub modernizację MBP tj. instalacji mechaniczno-biologicznego przetwarzania odpadów komunalnych</w:t>
            </w:r>
          </w:p>
        </w:tc>
        <w:tc>
          <w:tcPr>
            <w:tcW w:w="4426" w:type="dxa"/>
            <w:tcBorders>
              <w:top w:val="single" w:sz="6" w:space="0" w:color="auto"/>
              <w:left w:val="single" w:sz="6" w:space="0" w:color="auto"/>
              <w:bottom w:val="single" w:sz="6" w:space="0" w:color="auto"/>
              <w:right w:val="single" w:sz="6" w:space="0" w:color="auto"/>
            </w:tcBorders>
            <w:shd w:val="clear" w:color="auto" w:fill="auto"/>
          </w:tcPr>
          <w:p w14:paraId="4AE4E076" w14:textId="77777777" w:rsidR="006B59F6" w:rsidRPr="006D7B99" w:rsidRDefault="006B59F6" w:rsidP="002648A7">
            <w:pPr>
              <w:jc w:val="both"/>
              <w:rPr>
                <w:rFonts w:ascii="Arial" w:eastAsia="Arial" w:hAnsi="Arial" w:cs="Arial"/>
              </w:rPr>
            </w:pPr>
            <w:r w:rsidRPr="1660E8E9">
              <w:rPr>
                <w:rFonts w:ascii="Arial" w:hAnsi="Arial" w:cs="Arial"/>
                <w:lang w:eastAsia="pl-PL"/>
              </w:rPr>
              <w:t xml:space="preserve">Dopuszcza się taką inwestycję w uzasadnionych przypadkach tj. dla inwestycji uwzględnionych w zał. nr 10 do Kontraktu Programowego dla Województwa Śląskiego. </w:t>
            </w:r>
            <w:r w:rsidRPr="1660E8E9">
              <w:rPr>
                <w:rFonts w:ascii="Arial" w:eastAsia="Arial" w:hAnsi="Arial" w:cs="Arial"/>
              </w:rPr>
              <w:t>Kryterium uznaje się za spełnione jeśli projekt, który dot. MBP wynika z zał. nr 10 do Kontraktu Programowego. Inwestycje dot. MBP niewynikające z zał. nr 10 do KP nie spełniają kryterium (0 pkt). Jeśli inwestycja nie dot. MBP należy wpisać "nie dotyczy".</w:t>
            </w:r>
          </w:p>
          <w:p w14:paraId="4983F7B1" w14:textId="77777777" w:rsidR="006B59F6" w:rsidRPr="006D7B99" w:rsidRDefault="006B59F6" w:rsidP="002648A7">
            <w:pPr>
              <w:pStyle w:val="paragraph"/>
              <w:jc w:val="both"/>
              <w:textAlignment w:val="baseline"/>
              <w:rPr>
                <w:rStyle w:val="normaltextrun"/>
                <w:rFonts w:ascii="Arial" w:hAnsi="Arial" w:cs="Arial"/>
                <w:strike/>
                <w:sz w:val="22"/>
                <w:szCs w:val="22"/>
              </w:rPr>
            </w:pPr>
          </w:p>
        </w:tc>
        <w:tc>
          <w:tcPr>
            <w:tcW w:w="2014" w:type="dxa"/>
            <w:tcBorders>
              <w:top w:val="single" w:sz="6" w:space="0" w:color="auto"/>
              <w:left w:val="single" w:sz="6" w:space="0" w:color="auto"/>
              <w:bottom w:val="single" w:sz="6" w:space="0" w:color="auto"/>
              <w:right w:val="single" w:sz="6" w:space="0" w:color="auto"/>
            </w:tcBorders>
            <w:shd w:val="clear" w:color="auto" w:fill="auto"/>
          </w:tcPr>
          <w:p w14:paraId="66C21F8F" w14:textId="77777777" w:rsidR="006B59F6" w:rsidRPr="006D7B99" w:rsidRDefault="006B59F6" w:rsidP="002648A7">
            <w:pPr>
              <w:pStyle w:val="paragraph"/>
              <w:textAlignment w:val="baseline"/>
              <w:rPr>
                <w:rFonts w:ascii="Arial" w:hAnsi="Arial" w:cs="Arial"/>
                <w:sz w:val="22"/>
                <w:szCs w:val="22"/>
              </w:rPr>
            </w:pPr>
            <w:r w:rsidRPr="006D7B99">
              <w:rPr>
                <w:rStyle w:val="normaltextrun"/>
                <w:rFonts w:ascii="Arial" w:hAnsi="Arial" w:cs="Arial"/>
                <w:sz w:val="22"/>
                <w:szCs w:val="22"/>
              </w:rPr>
              <w:t>TAK</w:t>
            </w:r>
            <w:r w:rsidRPr="006D7B99">
              <w:rPr>
                <w:rStyle w:val="eop"/>
                <w:rFonts w:ascii="Arial" w:hAnsi="Arial" w:cs="Arial"/>
                <w:sz w:val="22"/>
                <w:szCs w:val="22"/>
              </w:rPr>
              <w:t> </w:t>
            </w:r>
          </w:p>
          <w:p w14:paraId="40419E1F" w14:textId="77777777" w:rsidR="006B59F6" w:rsidRPr="006D7B99" w:rsidRDefault="006B59F6" w:rsidP="002648A7">
            <w:pPr>
              <w:pStyle w:val="paragraph"/>
              <w:textAlignment w:val="baseline"/>
              <w:rPr>
                <w:rStyle w:val="normaltextrun"/>
                <w:rFonts w:ascii="Arial" w:hAnsi="Arial" w:cs="Arial"/>
                <w:sz w:val="22"/>
                <w:szCs w:val="22"/>
              </w:rPr>
            </w:pPr>
            <w:r>
              <w:rPr>
                <w:rFonts w:ascii="Arial" w:hAnsi="Arial" w:cs="Arial"/>
              </w:rPr>
              <w:t>Kryterium podlega uzupełnieniu</w:t>
            </w:r>
            <w:r w:rsidRPr="00105156">
              <w:rPr>
                <w:rFonts w:ascii="Arial" w:hAnsi="Arial" w:cs="Arial"/>
              </w:rPr>
              <w:t xml:space="preserve">  </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35BA86B1" w14:textId="77777777" w:rsidR="006B59F6" w:rsidRDefault="006B59F6" w:rsidP="002648A7">
            <w:pPr>
              <w:rPr>
                <w:rStyle w:val="eop"/>
                <w:rFonts w:ascii="Arial" w:hAnsi="Arial" w:cs="Arial"/>
              </w:rPr>
            </w:pPr>
            <w:r w:rsidRPr="006D7B99">
              <w:rPr>
                <w:rStyle w:val="normaltextrun"/>
                <w:rFonts w:ascii="Arial" w:hAnsi="Arial" w:cs="Arial"/>
              </w:rPr>
              <w:t>0/1</w:t>
            </w:r>
            <w:r w:rsidRPr="006D7B99">
              <w:rPr>
                <w:rStyle w:val="eop"/>
                <w:rFonts w:ascii="Arial" w:hAnsi="Arial" w:cs="Arial"/>
              </w:rPr>
              <w:t> </w:t>
            </w:r>
          </w:p>
          <w:p w14:paraId="736B9834" w14:textId="7C9276FC"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305BD7B1" w14:textId="01BAF696" w:rsidR="006B59F6" w:rsidRPr="006D7B99" w:rsidRDefault="006B59F6" w:rsidP="00E9152E">
            <w:pPr>
              <w:spacing w:before="240"/>
              <w:rPr>
                <w:rStyle w:val="normaltextrun"/>
                <w:rFonts w:ascii="Arial" w:hAnsi="Arial" w:cs="Arial"/>
              </w:rPr>
            </w:pPr>
            <w:r w:rsidRPr="00B4224A">
              <w:rPr>
                <w:rFonts w:ascii="Arial" w:eastAsia="Times New Roman" w:hAnsi="Arial" w:cs="Arial"/>
                <w:sz w:val="24"/>
                <w:szCs w:val="24"/>
                <w:lang w:eastAsia="pl-PL"/>
              </w:rPr>
              <w:t>0 pkt – nie spełnia kryterium – ocena negatywna</w:t>
            </w:r>
          </w:p>
        </w:tc>
        <w:tc>
          <w:tcPr>
            <w:tcW w:w="1239" w:type="dxa"/>
            <w:tcBorders>
              <w:top w:val="single" w:sz="6" w:space="0" w:color="auto"/>
              <w:left w:val="single" w:sz="6" w:space="0" w:color="auto"/>
              <w:bottom w:val="single" w:sz="6" w:space="0" w:color="auto"/>
              <w:right w:val="single" w:sz="6" w:space="0" w:color="auto"/>
            </w:tcBorders>
          </w:tcPr>
          <w:p w14:paraId="26C68F7C" w14:textId="77777777" w:rsidR="006B59F6" w:rsidRPr="006D7B99" w:rsidRDefault="006B59F6" w:rsidP="002648A7">
            <w:pPr>
              <w:rPr>
                <w:rStyle w:val="normaltextrun"/>
                <w:rFonts w:ascii="Arial" w:hAnsi="Arial" w:cs="Arial"/>
              </w:rPr>
            </w:pPr>
          </w:p>
        </w:tc>
      </w:tr>
      <w:tr w:rsidR="006B59F6" w:rsidRPr="006D7B99" w14:paraId="1C6C546E" w14:textId="1C9D8188" w:rsidTr="006B59F6">
        <w:trPr>
          <w:trHeight w:val="2302"/>
        </w:trPr>
        <w:tc>
          <w:tcPr>
            <w:tcW w:w="982" w:type="dxa"/>
          </w:tcPr>
          <w:p w14:paraId="7B4995DB" w14:textId="77777777" w:rsidR="006B59F6" w:rsidRPr="006D7B99" w:rsidRDefault="006B59F6" w:rsidP="00812367">
            <w:pPr>
              <w:pStyle w:val="Akapitzlist"/>
              <w:numPr>
                <w:ilvl w:val="0"/>
                <w:numId w:val="18"/>
              </w:numPr>
              <w:spacing w:after="0"/>
              <w:ind w:left="452"/>
              <w:rPr>
                <w:rFonts w:ascii="Arial" w:hAnsi="Arial" w:cs="Arial"/>
                <w:color w:val="00B050"/>
              </w:rPr>
            </w:pPr>
          </w:p>
        </w:tc>
        <w:tc>
          <w:tcPr>
            <w:tcW w:w="3234" w:type="dxa"/>
            <w:tcBorders>
              <w:top w:val="single" w:sz="6" w:space="0" w:color="auto"/>
              <w:left w:val="single" w:sz="6" w:space="0" w:color="auto"/>
              <w:bottom w:val="single" w:sz="6" w:space="0" w:color="auto"/>
              <w:right w:val="single" w:sz="6" w:space="0" w:color="auto"/>
            </w:tcBorders>
            <w:shd w:val="clear" w:color="auto" w:fill="auto"/>
          </w:tcPr>
          <w:p w14:paraId="5106F0D0" w14:textId="77777777" w:rsidR="006B59F6" w:rsidRPr="006D7B99" w:rsidRDefault="006B59F6" w:rsidP="002648A7">
            <w:pPr>
              <w:spacing w:before="100" w:beforeAutospacing="1" w:after="100" w:afterAutospacing="1"/>
              <w:textAlignment w:val="baseline"/>
              <w:rPr>
                <w:rStyle w:val="normaltextrun"/>
                <w:rFonts w:ascii="Arial" w:hAnsi="Arial" w:cs="Arial"/>
              </w:rPr>
            </w:pPr>
            <w:r w:rsidRPr="48247712">
              <w:rPr>
                <w:rStyle w:val="normaltextrun"/>
                <w:rFonts w:ascii="Arial" w:hAnsi="Arial" w:cs="Arial"/>
              </w:rPr>
              <w:t>Zgodność wydatków inwestycyjnych z limitami wynikającymi z linii demarkacyjnej pomiędzy programami regionalnymi a krajowymi.</w:t>
            </w:r>
            <w:r w:rsidRPr="48247712">
              <w:rPr>
                <w:rStyle w:val="eop"/>
                <w:rFonts w:ascii="Arial" w:hAnsi="Arial" w:cs="Arial"/>
              </w:rPr>
              <w:t> </w:t>
            </w:r>
          </w:p>
        </w:tc>
        <w:tc>
          <w:tcPr>
            <w:tcW w:w="4426" w:type="dxa"/>
            <w:tcBorders>
              <w:top w:val="single" w:sz="6" w:space="0" w:color="auto"/>
              <w:left w:val="single" w:sz="6" w:space="0" w:color="auto"/>
              <w:bottom w:val="single" w:sz="6" w:space="0" w:color="auto"/>
              <w:right w:val="single" w:sz="6" w:space="0" w:color="auto"/>
            </w:tcBorders>
            <w:shd w:val="clear" w:color="auto" w:fill="auto"/>
          </w:tcPr>
          <w:p w14:paraId="125137F4" w14:textId="77777777" w:rsidR="006B59F6" w:rsidRPr="00105156" w:rsidRDefault="006B59F6" w:rsidP="002648A7">
            <w:pPr>
              <w:jc w:val="both"/>
              <w:rPr>
                <w:rFonts w:ascii="Arial" w:hAnsi="Arial" w:cs="Arial"/>
                <w:color w:val="000000" w:themeColor="text1"/>
                <w:lang w:eastAsia="pl-PL"/>
              </w:rPr>
            </w:pPr>
            <w:r w:rsidRPr="03884F0D">
              <w:rPr>
                <w:rFonts w:ascii="Arial" w:hAnsi="Arial" w:cs="Arial"/>
                <w:color w:val="000000" w:themeColor="text1"/>
                <w:lang w:eastAsia="pl-PL"/>
              </w:rPr>
              <w:t>W kryterium badane będzie czy wartość wydatków kwalifikowalnych nie przekracza wartości 12 mln złotych.</w:t>
            </w:r>
          </w:p>
          <w:p w14:paraId="2C379607" w14:textId="77777777" w:rsidR="006B59F6" w:rsidRPr="00E9152E" w:rsidRDefault="006B59F6" w:rsidP="002648A7">
            <w:pPr>
              <w:pStyle w:val="paragraph"/>
              <w:jc w:val="both"/>
              <w:textAlignment w:val="baseline"/>
              <w:rPr>
                <w:rFonts w:eastAsiaTheme="minorHAnsi"/>
                <w:color w:val="000000" w:themeColor="text1"/>
              </w:rPr>
            </w:pPr>
            <w:r w:rsidRPr="00E9152E">
              <w:rPr>
                <w:rFonts w:ascii="Arial" w:eastAsiaTheme="minorHAnsi" w:hAnsi="Arial" w:cs="Arial"/>
                <w:color w:val="000000" w:themeColor="text1"/>
                <w:sz w:val="22"/>
                <w:szCs w:val="22"/>
              </w:rPr>
              <w:t xml:space="preserve">* Zostanie zapewniona elastyczność zasad demarkacji na etapie wdrażania programów. W przypadku, gdy przestaną istnieć przesłanki wskazujące na możliwość wystąpienia podwójnego finansowania, np. na jednym z poziomów lub w danym programie wyczerpie się alokacja na dany typ działań przypisanych do tego poziomu lub programu, możliwe </w:t>
            </w:r>
            <w:r w:rsidRPr="00E9152E">
              <w:rPr>
                <w:rFonts w:ascii="Arial" w:eastAsiaTheme="minorHAnsi" w:hAnsi="Arial" w:cs="Arial"/>
                <w:color w:val="000000" w:themeColor="text1"/>
                <w:sz w:val="22"/>
                <w:szCs w:val="22"/>
              </w:rPr>
              <w:lastRenderedPageBreak/>
              <w:t>jest – po uzgodnieniu z Instytucją</w:t>
            </w:r>
            <w:r w:rsidRPr="00E9152E">
              <w:rPr>
                <w:rFonts w:ascii="Arial" w:eastAsiaTheme="minorHAnsi" w:hAnsi="Arial" w:cs="Arial"/>
                <w:color w:val="000000" w:themeColor="text1"/>
                <w:sz w:val="22"/>
                <w:szCs w:val="22"/>
              </w:rPr>
              <w:br/>
              <w:t>Koordynującą UP (PR) oraz właściwymi Instytucjami Zarządzającymi – dokonanie odstępstwa od zasad generalnych Linii demarkacyjnej. Tego typu zmiany nie</w:t>
            </w:r>
            <w:r w:rsidRPr="00E9152E">
              <w:rPr>
                <w:rFonts w:ascii="Arial" w:eastAsiaTheme="minorHAnsi" w:hAnsi="Arial" w:cs="Arial"/>
                <w:color w:val="000000" w:themeColor="text1"/>
                <w:sz w:val="22"/>
                <w:szCs w:val="22"/>
              </w:rPr>
              <w:br/>
              <w:t>wymagają zatwierdzenia przez Komitet Koordynacyjny Umowę Partnerstwa (KUP). Wsparcie możliwe przy zapewnieniu mechanizmu wykluczenia podwójnego</w:t>
            </w:r>
            <w:r w:rsidRPr="00E9152E">
              <w:rPr>
                <w:rFonts w:ascii="Arial" w:eastAsiaTheme="minorHAnsi" w:hAnsi="Arial" w:cs="Arial"/>
                <w:color w:val="000000" w:themeColor="text1"/>
                <w:sz w:val="22"/>
                <w:szCs w:val="22"/>
              </w:rPr>
              <w:br/>
              <w:t>finansowania ze środków innych programów.</w:t>
            </w:r>
          </w:p>
        </w:tc>
        <w:tc>
          <w:tcPr>
            <w:tcW w:w="2014" w:type="dxa"/>
            <w:tcBorders>
              <w:top w:val="single" w:sz="6" w:space="0" w:color="auto"/>
              <w:left w:val="single" w:sz="6" w:space="0" w:color="auto"/>
              <w:bottom w:val="single" w:sz="6" w:space="0" w:color="auto"/>
              <w:right w:val="single" w:sz="6" w:space="0" w:color="auto"/>
            </w:tcBorders>
            <w:shd w:val="clear" w:color="auto" w:fill="auto"/>
          </w:tcPr>
          <w:p w14:paraId="6B836581" w14:textId="77777777" w:rsidR="006B59F6" w:rsidRPr="006D7B99" w:rsidRDefault="006B59F6" w:rsidP="002648A7">
            <w:pPr>
              <w:pStyle w:val="paragraph"/>
              <w:textAlignment w:val="baseline"/>
              <w:rPr>
                <w:rFonts w:ascii="Arial" w:hAnsi="Arial" w:cs="Arial"/>
                <w:sz w:val="22"/>
                <w:szCs w:val="22"/>
              </w:rPr>
            </w:pPr>
            <w:r w:rsidRPr="006D7B99">
              <w:rPr>
                <w:rStyle w:val="normaltextrun"/>
                <w:rFonts w:ascii="Arial" w:hAnsi="Arial" w:cs="Arial"/>
                <w:sz w:val="22"/>
                <w:szCs w:val="22"/>
              </w:rPr>
              <w:lastRenderedPageBreak/>
              <w:t>TAK</w:t>
            </w:r>
            <w:r w:rsidRPr="006D7B99">
              <w:rPr>
                <w:rStyle w:val="eop"/>
                <w:rFonts w:ascii="Arial" w:hAnsi="Arial" w:cs="Arial"/>
                <w:sz w:val="22"/>
                <w:szCs w:val="22"/>
              </w:rPr>
              <w:t> </w:t>
            </w:r>
          </w:p>
          <w:p w14:paraId="2AD9F356" w14:textId="77777777" w:rsidR="006B59F6" w:rsidRPr="006D7B99" w:rsidRDefault="006B59F6" w:rsidP="002648A7">
            <w:pPr>
              <w:pStyle w:val="paragraph"/>
              <w:textAlignment w:val="baseline"/>
              <w:rPr>
                <w:rStyle w:val="normaltextrun"/>
                <w:rFonts w:ascii="Arial" w:hAnsi="Arial" w:cs="Arial"/>
                <w:sz w:val="22"/>
                <w:szCs w:val="22"/>
              </w:rPr>
            </w:pPr>
            <w:r>
              <w:rPr>
                <w:rFonts w:ascii="Arial" w:hAnsi="Arial" w:cs="Arial"/>
              </w:rPr>
              <w:t>Kryterium podlega uzupełnieniu</w:t>
            </w:r>
            <w:r w:rsidRPr="00105156">
              <w:rPr>
                <w:rFonts w:ascii="Arial" w:hAnsi="Arial" w:cs="Arial"/>
              </w:rPr>
              <w:t xml:space="preserve">  </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7C956D7" w14:textId="77777777" w:rsidR="006B59F6" w:rsidRDefault="006B59F6" w:rsidP="002648A7">
            <w:pPr>
              <w:rPr>
                <w:rStyle w:val="eop"/>
                <w:rFonts w:ascii="Arial" w:hAnsi="Arial" w:cs="Arial"/>
              </w:rPr>
            </w:pPr>
            <w:r w:rsidRPr="006D7B99">
              <w:rPr>
                <w:rStyle w:val="normaltextrun"/>
                <w:rFonts w:ascii="Arial" w:hAnsi="Arial" w:cs="Arial"/>
              </w:rPr>
              <w:t>0/1</w:t>
            </w:r>
            <w:r w:rsidRPr="006D7B99">
              <w:rPr>
                <w:rStyle w:val="eop"/>
                <w:rFonts w:ascii="Arial" w:hAnsi="Arial" w:cs="Arial"/>
              </w:rPr>
              <w:t> </w:t>
            </w:r>
          </w:p>
          <w:p w14:paraId="1A852605" w14:textId="696EB75A"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0658EC42" w14:textId="01104D36" w:rsidR="006B59F6" w:rsidRPr="006D7B99" w:rsidRDefault="006B59F6" w:rsidP="00E9152E">
            <w:pPr>
              <w:spacing w:before="240"/>
              <w:rPr>
                <w:rStyle w:val="normaltextrun"/>
                <w:rFonts w:ascii="Arial" w:hAnsi="Arial" w:cs="Arial"/>
              </w:rPr>
            </w:pPr>
            <w:r w:rsidRPr="00B4224A">
              <w:rPr>
                <w:rFonts w:ascii="Arial" w:eastAsia="Times New Roman" w:hAnsi="Arial" w:cs="Arial"/>
                <w:sz w:val="24"/>
                <w:szCs w:val="24"/>
                <w:lang w:eastAsia="pl-PL"/>
              </w:rPr>
              <w:t>0 pkt – nie spełnia kryterium – ocena negatywna</w:t>
            </w:r>
          </w:p>
        </w:tc>
        <w:tc>
          <w:tcPr>
            <w:tcW w:w="1239" w:type="dxa"/>
            <w:tcBorders>
              <w:top w:val="single" w:sz="6" w:space="0" w:color="auto"/>
              <w:left w:val="single" w:sz="6" w:space="0" w:color="auto"/>
              <w:bottom w:val="single" w:sz="6" w:space="0" w:color="auto"/>
              <w:right w:val="single" w:sz="6" w:space="0" w:color="auto"/>
            </w:tcBorders>
          </w:tcPr>
          <w:p w14:paraId="617EEE5C" w14:textId="77777777" w:rsidR="006B59F6" w:rsidRPr="006D7B99" w:rsidRDefault="006B59F6" w:rsidP="002648A7">
            <w:pPr>
              <w:rPr>
                <w:rStyle w:val="normaltextrun"/>
                <w:rFonts w:ascii="Arial" w:hAnsi="Arial" w:cs="Arial"/>
              </w:rPr>
            </w:pPr>
          </w:p>
        </w:tc>
      </w:tr>
      <w:tr w:rsidR="006B59F6" w:rsidRPr="006D7B99" w14:paraId="73831207" w14:textId="44E3CB7C" w:rsidTr="006B59F6">
        <w:trPr>
          <w:trHeight w:val="2302"/>
        </w:trPr>
        <w:tc>
          <w:tcPr>
            <w:tcW w:w="982" w:type="dxa"/>
          </w:tcPr>
          <w:p w14:paraId="02EFB923" w14:textId="77777777" w:rsidR="006B59F6" w:rsidRPr="006D7B99" w:rsidRDefault="006B59F6" w:rsidP="002648A7">
            <w:pPr>
              <w:pStyle w:val="Akapitzlist"/>
              <w:spacing w:after="0"/>
              <w:ind w:left="452"/>
              <w:rPr>
                <w:rFonts w:ascii="Arial" w:hAnsi="Arial" w:cs="Arial"/>
              </w:rPr>
            </w:pPr>
            <w:r>
              <w:rPr>
                <w:rFonts w:ascii="Arial" w:hAnsi="Arial" w:cs="Arial"/>
              </w:rPr>
              <w:t>5.</w:t>
            </w:r>
          </w:p>
        </w:tc>
        <w:tc>
          <w:tcPr>
            <w:tcW w:w="3234" w:type="dxa"/>
          </w:tcPr>
          <w:p w14:paraId="419E1788" w14:textId="77777777" w:rsidR="006B59F6" w:rsidRPr="006D7B99" w:rsidRDefault="006B59F6" w:rsidP="002648A7">
            <w:pPr>
              <w:spacing w:before="100" w:beforeAutospacing="1" w:after="100" w:afterAutospacing="1"/>
              <w:textAlignment w:val="baseline"/>
              <w:rPr>
                <w:rStyle w:val="normaltextrun"/>
                <w:rFonts w:ascii="Arial" w:hAnsi="Arial" w:cs="Arial"/>
                <w:color w:val="000000" w:themeColor="text1"/>
              </w:rPr>
            </w:pPr>
            <w:r w:rsidRPr="48247712">
              <w:rPr>
                <w:rFonts w:ascii="Arial" w:hAnsi="Arial" w:cs="Arial"/>
                <w:lang w:eastAsia="pl-PL"/>
              </w:rPr>
              <w:t>Realizacja w projekcie k</w:t>
            </w:r>
            <w:r w:rsidRPr="48247712">
              <w:rPr>
                <w:rFonts w:ascii="Arial" w:hAnsi="Arial" w:cs="Arial"/>
              </w:rPr>
              <w:t xml:space="preserve">ampanii, </w:t>
            </w:r>
            <w:r w:rsidRPr="48247712">
              <w:rPr>
                <w:rFonts w:ascii="Arial" w:hAnsi="Arial" w:cs="Arial"/>
                <w:lang w:eastAsia="pl-PL"/>
              </w:rPr>
              <w:t>której przedmiotem będą działania informacyjno–edukacyjne</w:t>
            </w:r>
            <w:r>
              <w:br/>
            </w:r>
            <w:r w:rsidRPr="48247712">
              <w:rPr>
                <w:rFonts w:ascii="Arial" w:hAnsi="Arial" w:cs="Arial"/>
                <w:lang w:eastAsia="pl-PL"/>
              </w:rPr>
              <w:t>dotyczące sposobów zapobiegania powstawaniu odpadów, a także zasad ich segregacji, które zwiększą świadomość w zakresie zrównoważonej konsumpcji i</w:t>
            </w:r>
            <w:r>
              <w:br/>
            </w:r>
            <w:r w:rsidRPr="48247712">
              <w:rPr>
                <w:rFonts w:ascii="Arial" w:hAnsi="Arial" w:cs="Arial"/>
                <w:lang w:eastAsia="pl-PL"/>
              </w:rPr>
              <w:t>przyczynią się do zmniejszenia ubóstwa</w:t>
            </w:r>
            <w:r w:rsidRPr="48247712">
              <w:rPr>
                <w:rFonts w:ascii="Arial" w:hAnsi="Arial" w:cs="Arial"/>
              </w:rPr>
              <w:t>.</w:t>
            </w:r>
          </w:p>
        </w:tc>
        <w:tc>
          <w:tcPr>
            <w:tcW w:w="4426" w:type="dxa"/>
          </w:tcPr>
          <w:p w14:paraId="68F98F80" w14:textId="77777777" w:rsidR="006B59F6" w:rsidRPr="00105156" w:rsidRDefault="006B59F6" w:rsidP="002648A7">
            <w:pPr>
              <w:spacing w:before="100" w:beforeAutospacing="1" w:after="100" w:afterAutospacing="1"/>
              <w:textAlignment w:val="baseline"/>
              <w:rPr>
                <w:rFonts w:ascii="Arial" w:hAnsi="Arial" w:cs="Arial"/>
                <w:lang w:eastAsia="pl-PL"/>
              </w:rPr>
            </w:pPr>
            <w:r w:rsidRPr="00105156">
              <w:rPr>
                <w:rFonts w:ascii="Arial" w:hAnsi="Arial" w:cs="Arial"/>
                <w:lang w:eastAsia="pl-PL"/>
              </w:rPr>
              <w:t>W ramach kryterium ocenie podlegać będzie uwzględnienie i realizacja kampanii informacyjno-edukacyjnej w projekcie jako jego obligatoryjny komponent. </w:t>
            </w:r>
          </w:p>
          <w:p w14:paraId="49032333" w14:textId="77777777" w:rsidR="006B59F6" w:rsidRPr="006D7B99" w:rsidRDefault="006B59F6" w:rsidP="002648A7">
            <w:pPr>
              <w:jc w:val="both"/>
              <w:rPr>
                <w:rStyle w:val="normaltextrun"/>
                <w:rFonts w:ascii="Arial" w:hAnsi="Arial" w:cs="Arial"/>
                <w:color w:val="000000" w:themeColor="text1"/>
              </w:rPr>
            </w:pPr>
          </w:p>
        </w:tc>
        <w:tc>
          <w:tcPr>
            <w:tcW w:w="2014" w:type="dxa"/>
          </w:tcPr>
          <w:p w14:paraId="186A457B" w14:textId="77777777" w:rsidR="006B59F6" w:rsidRPr="006D7B99" w:rsidRDefault="006B59F6" w:rsidP="002648A7">
            <w:pPr>
              <w:rPr>
                <w:rFonts w:ascii="Arial" w:hAnsi="Arial" w:cs="Arial"/>
              </w:rPr>
            </w:pPr>
            <w:r w:rsidRPr="006D7B99">
              <w:rPr>
                <w:rFonts w:ascii="Arial" w:hAnsi="Arial" w:cs="Arial"/>
              </w:rPr>
              <w:t>TAK</w:t>
            </w:r>
          </w:p>
          <w:p w14:paraId="3FF82D04" w14:textId="77777777" w:rsidR="006B59F6" w:rsidRPr="006D7B99" w:rsidRDefault="006B59F6" w:rsidP="002648A7">
            <w:pPr>
              <w:rPr>
                <w:rFonts w:ascii="Arial" w:hAnsi="Arial" w:cs="Arial"/>
              </w:rPr>
            </w:pPr>
            <w:r>
              <w:rPr>
                <w:rFonts w:ascii="Arial" w:hAnsi="Arial" w:cs="Arial"/>
              </w:rPr>
              <w:t>Kryterium podlega uzupełnieniu</w:t>
            </w:r>
            <w:r w:rsidRPr="00105156">
              <w:rPr>
                <w:rFonts w:ascii="Arial" w:hAnsi="Arial" w:cs="Arial"/>
              </w:rPr>
              <w:t xml:space="preserve">  </w:t>
            </w:r>
          </w:p>
        </w:tc>
        <w:tc>
          <w:tcPr>
            <w:tcW w:w="1813" w:type="dxa"/>
          </w:tcPr>
          <w:p w14:paraId="7F5C59CF" w14:textId="77777777" w:rsidR="006B59F6" w:rsidRDefault="006B59F6" w:rsidP="002648A7">
            <w:pPr>
              <w:rPr>
                <w:rFonts w:ascii="Arial" w:hAnsi="Arial" w:cs="Arial"/>
              </w:rPr>
            </w:pPr>
            <w:r w:rsidRPr="006D7B99">
              <w:rPr>
                <w:rFonts w:ascii="Arial" w:hAnsi="Arial" w:cs="Arial"/>
              </w:rPr>
              <w:t>0/1</w:t>
            </w:r>
          </w:p>
          <w:p w14:paraId="2012158D" w14:textId="3223BD18"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2EE3C82C" w14:textId="70D18D39" w:rsidR="006B59F6" w:rsidRPr="006D7B99" w:rsidRDefault="006B59F6" w:rsidP="00E9152E">
            <w:pPr>
              <w:spacing w:before="240"/>
              <w:rPr>
                <w:rFonts w:ascii="Arial" w:hAnsi="Arial" w:cs="Arial"/>
              </w:rPr>
            </w:pPr>
            <w:r w:rsidRPr="00B4224A">
              <w:rPr>
                <w:rFonts w:ascii="Arial" w:eastAsia="Times New Roman" w:hAnsi="Arial" w:cs="Arial"/>
                <w:sz w:val="24"/>
                <w:szCs w:val="24"/>
                <w:lang w:eastAsia="pl-PL"/>
              </w:rPr>
              <w:t>0 pkt – nie spełnia kryterium – ocena negatywna</w:t>
            </w:r>
          </w:p>
        </w:tc>
        <w:tc>
          <w:tcPr>
            <w:tcW w:w="1239" w:type="dxa"/>
          </w:tcPr>
          <w:p w14:paraId="72022BDC" w14:textId="77777777" w:rsidR="006B59F6" w:rsidRPr="006D7B99" w:rsidRDefault="006B59F6" w:rsidP="002648A7">
            <w:pPr>
              <w:rPr>
                <w:rFonts w:ascii="Arial" w:hAnsi="Arial" w:cs="Arial"/>
              </w:rPr>
            </w:pPr>
          </w:p>
        </w:tc>
      </w:tr>
    </w:tbl>
    <w:p w14:paraId="065792C7" w14:textId="77777777" w:rsidR="00812367" w:rsidRPr="00B4224A" w:rsidRDefault="00812367" w:rsidP="00812367">
      <w:pPr>
        <w:keepNext/>
        <w:spacing w:before="240" w:line="240" w:lineRule="auto"/>
        <w:rPr>
          <w:rFonts w:ascii="Arial" w:hAnsi="Arial" w:cs="Arial"/>
          <w:b/>
          <w:iCs/>
          <w:sz w:val="24"/>
          <w:szCs w:val="24"/>
        </w:rPr>
      </w:pPr>
      <w:r w:rsidRPr="00B4224A">
        <w:rPr>
          <w:rFonts w:ascii="Arial" w:hAnsi="Arial" w:cs="Arial"/>
          <w:b/>
          <w:iCs/>
          <w:sz w:val="24"/>
          <w:szCs w:val="24"/>
        </w:rPr>
        <w:lastRenderedPageBreak/>
        <w:t>Tabela 3. Kryteria merytoryczne ogólne</w:t>
      </w:r>
    </w:p>
    <w:tbl>
      <w:tblPr>
        <w:tblStyle w:val="Tabela-Siatka"/>
        <w:tblW w:w="14170" w:type="dxa"/>
        <w:tblLayout w:type="fixed"/>
        <w:tblLook w:val="04A0" w:firstRow="1" w:lastRow="0" w:firstColumn="1" w:lastColumn="0" w:noHBand="0" w:noVBand="1"/>
        <w:tblCaption w:val="Kryteria merytoryczne ogólne"/>
        <w:tblDescription w:val="Tabela 3. Zestawienie kryteriów merytorycznych ogólnych dla działania 2.12"/>
      </w:tblPr>
      <w:tblGrid>
        <w:gridCol w:w="866"/>
        <w:gridCol w:w="2673"/>
        <w:gridCol w:w="5265"/>
        <w:gridCol w:w="1766"/>
        <w:gridCol w:w="1899"/>
        <w:gridCol w:w="1701"/>
      </w:tblGrid>
      <w:tr w:rsidR="00812367" w:rsidRPr="00B4224A" w14:paraId="669C811B" w14:textId="77777777" w:rsidTr="006B59F6">
        <w:trPr>
          <w:trHeight w:val="300"/>
          <w:tblHeader/>
        </w:trPr>
        <w:tc>
          <w:tcPr>
            <w:tcW w:w="866" w:type="dxa"/>
            <w:shd w:val="clear" w:color="auto" w:fill="A6A6A6" w:themeFill="background1" w:themeFillShade="A6"/>
            <w:hideMark/>
          </w:tcPr>
          <w:p w14:paraId="68A6960F" w14:textId="77777777" w:rsidR="00812367" w:rsidRPr="006B59F6" w:rsidRDefault="00812367" w:rsidP="002648A7">
            <w:pPr>
              <w:pStyle w:val="Akapitzlist"/>
              <w:ind w:left="22"/>
              <w:rPr>
                <w:rFonts w:ascii="Arial" w:hAnsi="Arial" w:cs="Arial"/>
                <w:b/>
                <w:sz w:val="24"/>
                <w:szCs w:val="24"/>
              </w:rPr>
            </w:pPr>
            <w:r w:rsidRPr="006B59F6">
              <w:rPr>
                <w:rFonts w:ascii="Arial" w:hAnsi="Arial" w:cs="Arial"/>
                <w:b/>
                <w:sz w:val="24"/>
                <w:szCs w:val="24"/>
              </w:rPr>
              <w:t>L.p.</w:t>
            </w:r>
          </w:p>
        </w:tc>
        <w:tc>
          <w:tcPr>
            <w:tcW w:w="2673" w:type="dxa"/>
            <w:shd w:val="clear" w:color="auto" w:fill="A6A6A6" w:themeFill="background1" w:themeFillShade="A6"/>
            <w:hideMark/>
          </w:tcPr>
          <w:p w14:paraId="59D7BF60" w14:textId="77777777" w:rsidR="00812367" w:rsidRPr="006B59F6" w:rsidRDefault="00812367" w:rsidP="002648A7">
            <w:pPr>
              <w:rPr>
                <w:rFonts w:ascii="Arial" w:hAnsi="Arial" w:cs="Arial"/>
                <w:b/>
                <w:sz w:val="24"/>
                <w:szCs w:val="24"/>
              </w:rPr>
            </w:pPr>
            <w:r w:rsidRPr="006B59F6">
              <w:rPr>
                <w:rFonts w:ascii="Arial" w:hAnsi="Arial" w:cs="Arial"/>
                <w:b/>
                <w:sz w:val="24"/>
                <w:szCs w:val="24"/>
              </w:rPr>
              <w:t>Nazwa kryterium</w:t>
            </w:r>
          </w:p>
        </w:tc>
        <w:tc>
          <w:tcPr>
            <w:tcW w:w="5265" w:type="dxa"/>
            <w:shd w:val="clear" w:color="auto" w:fill="A6A6A6" w:themeFill="background1" w:themeFillShade="A6"/>
            <w:hideMark/>
          </w:tcPr>
          <w:p w14:paraId="44D59E5E" w14:textId="77777777" w:rsidR="00812367" w:rsidRPr="006B59F6" w:rsidRDefault="00812367" w:rsidP="002648A7">
            <w:pPr>
              <w:rPr>
                <w:rFonts w:ascii="Arial" w:hAnsi="Arial" w:cs="Arial"/>
                <w:b/>
                <w:sz w:val="24"/>
                <w:szCs w:val="24"/>
              </w:rPr>
            </w:pPr>
            <w:r w:rsidRPr="006B59F6">
              <w:rPr>
                <w:rFonts w:ascii="Arial" w:hAnsi="Arial" w:cs="Arial"/>
                <w:b/>
                <w:sz w:val="24"/>
                <w:szCs w:val="24"/>
              </w:rPr>
              <w:t>Definicja kryterium</w:t>
            </w:r>
          </w:p>
          <w:p w14:paraId="5229437B" w14:textId="77777777" w:rsidR="00812367" w:rsidRPr="006B59F6" w:rsidRDefault="00812367" w:rsidP="002648A7">
            <w:pPr>
              <w:rPr>
                <w:rFonts w:ascii="Arial" w:hAnsi="Arial" w:cs="Arial"/>
                <w:b/>
                <w:sz w:val="24"/>
                <w:szCs w:val="24"/>
              </w:rPr>
            </w:pPr>
          </w:p>
        </w:tc>
        <w:tc>
          <w:tcPr>
            <w:tcW w:w="1766" w:type="dxa"/>
            <w:shd w:val="clear" w:color="auto" w:fill="A6A6A6" w:themeFill="background1" w:themeFillShade="A6"/>
            <w:hideMark/>
          </w:tcPr>
          <w:p w14:paraId="140E9C87" w14:textId="77777777" w:rsidR="00812367" w:rsidRPr="006B59F6" w:rsidRDefault="00812367" w:rsidP="002648A7">
            <w:pPr>
              <w:rPr>
                <w:rFonts w:ascii="Arial" w:hAnsi="Arial" w:cs="Arial"/>
                <w:b/>
                <w:sz w:val="24"/>
                <w:szCs w:val="24"/>
              </w:rPr>
            </w:pPr>
            <w:r w:rsidRPr="006B59F6">
              <w:rPr>
                <w:rFonts w:ascii="Arial" w:hAnsi="Arial" w:cs="Arial"/>
                <w:b/>
                <w:sz w:val="24"/>
                <w:szCs w:val="24"/>
              </w:rPr>
              <w:t>Czy spełnienie kryterium jest konieczne do przyznania dofinansowania?</w:t>
            </w:r>
          </w:p>
        </w:tc>
        <w:tc>
          <w:tcPr>
            <w:tcW w:w="1899" w:type="dxa"/>
            <w:shd w:val="clear" w:color="auto" w:fill="A6A6A6" w:themeFill="background1" w:themeFillShade="A6"/>
            <w:hideMark/>
          </w:tcPr>
          <w:p w14:paraId="0F97AE87" w14:textId="77777777" w:rsidR="00812367" w:rsidRPr="006B59F6" w:rsidRDefault="00812367" w:rsidP="002648A7">
            <w:pPr>
              <w:rPr>
                <w:rFonts w:ascii="Arial" w:hAnsi="Arial" w:cs="Arial"/>
                <w:b/>
                <w:sz w:val="24"/>
                <w:szCs w:val="24"/>
              </w:rPr>
            </w:pPr>
            <w:r w:rsidRPr="006B59F6">
              <w:rPr>
                <w:rFonts w:ascii="Arial" w:hAnsi="Arial" w:cs="Arial"/>
                <w:b/>
                <w:sz w:val="24"/>
                <w:szCs w:val="24"/>
              </w:rPr>
              <w:t>Sposób oceny kryterium</w:t>
            </w:r>
          </w:p>
        </w:tc>
        <w:tc>
          <w:tcPr>
            <w:tcW w:w="1701" w:type="dxa"/>
            <w:shd w:val="clear" w:color="auto" w:fill="A6A6A6" w:themeFill="background1" w:themeFillShade="A6"/>
            <w:hideMark/>
          </w:tcPr>
          <w:p w14:paraId="490F2F75" w14:textId="77777777" w:rsidR="00812367" w:rsidRPr="006B59F6" w:rsidRDefault="00812367" w:rsidP="002648A7">
            <w:pPr>
              <w:rPr>
                <w:rFonts w:ascii="Arial" w:hAnsi="Arial" w:cs="Arial"/>
                <w:b/>
                <w:sz w:val="24"/>
                <w:szCs w:val="24"/>
              </w:rPr>
            </w:pPr>
            <w:r w:rsidRPr="006B59F6">
              <w:rPr>
                <w:rFonts w:ascii="Arial" w:hAnsi="Arial" w:cs="Arial"/>
                <w:b/>
                <w:sz w:val="24"/>
                <w:szCs w:val="24"/>
              </w:rPr>
              <w:t>Szczególne znaczenie kryterium</w:t>
            </w:r>
          </w:p>
        </w:tc>
      </w:tr>
      <w:tr w:rsidR="00812367" w:rsidRPr="00B4224A" w14:paraId="58C57603" w14:textId="77777777" w:rsidTr="006B59F6">
        <w:trPr>
          <w:trHeight w:val="300"/>
        </w:trPr>
        <w:tc>
          <w:tcPr>
            <w:tcW w:w="866" w:type="dxa"/>
            <w:hideMark/>
          </w:tcPr>
          <w:p w14:paraId="1D11CE57" w14:textId="77777777" w:rsidR="00812367" w:rsidRPr="00B4224A" w:rsidRDefault="00812367" w:rsidP="00812367">
            <w:pPr>
              <w:numPr>
                <w:ilvl w:val="0"/>
                <w:numId w:val="22"/>
              </w:numPr>
              <w:spacing w:before="100" w:beforeAutospacing="1" w:after="100" w:afterAutospacing="1" w:line="276"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73" w:type="dxa"/>
            <w:hideMark/>
          </w:tcPr>
          <w:p w14:paraId="4F2597C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Właściwie przeprowadzona analiza finansowa i ekonomiczna</w:t>
            </w:r>
          </w:p>
        </w:tc>
        <w:tc>
          <w:tcPr>
            <w:tcW w:w="5265" w:type="dxa"/>
            <w:hideMark/>
          </w:tcPr>
          <w:p w14:paraId="703D7627"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kryterium ocenie podlega: </w:t>
            </w:r>
          </w:p>
          <w:p w14:paraId="00EA987A" w14:textId="77777777" w:rsidR="00812367" w:rsidRPr="00B4224A" w:rsidRDefault="00812367" w:rsidP="002648A7">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poprawność założeń i obliczeń – analiza i ocena zasadności i realności założeń przyjętych do analizy finansowej oraz poprawności w tym spójności przygotowanych kalkulacji;</w:t>
            </w:r>
          </w:p>
          <w:p w14:paraId="42E83FC9" w14:textId="77777777" w:rsidR="00812367" w:rsidRPr="00B4224A" w:rsidRDefault="00812367" w:rsidP="002648A7">
            <w:pPr>
              <w:spacing w:before="100" w:beforeAutospacing="1" w:after="100" w:afterAutospacing="1"/>
              <w:ind w:left="737" w:hanging="42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w:t>
            </w:r>
            <w:r w:rsidRPr="00B4224A">
              <w:rPr>
                <w:rFonts w:ascii="Arial" w:eastAsia="Times New Roman" w:hAnsi="Arial" w:cs="Arial"/>
                <w:sz w:val="24"/>
                <w:szCs w:val="24"/>
                <w:lang w:eastAsia="pl-PL"/>
              </w:rPr>
              <w:lastRenderedPageBreak/>
              <w:t>zasadność poniesienia nakładów odtworzeniowych;</w:t>
            </w:r>
          </w:p>
          <w:p w14:paraId="62E3D617" w14:textId="77777777" w:rsidR="00812367" w:rsidRPr="00B4224A" w:rsidRDefault="00812367" w:rsidP="002648A7">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9990E04" w14:textId="77777777" w:rsidR="00812367" w:rsidRPr="00B4224A" w:rsidRDefault="00812367" w:rsidP="002648A7">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uwzględnienie w analizie ekonomicznej uwarunkowań rynkowych branży oraz specyfikę projektu, opierając się o </w:t>
            </w:r>
            <w:r w:rsidRPr="00B4224A">
              <w:rPr>
                <w:rFonts w:ascii="Arial" w:eastAsia="Times New Roman" w:hAnsi="Arial" w:cs="Arial"/>
                <w:sz w:val="24"/>
                <w:szCs w:val="24"/>
                <w:lang w:eastAsia="pl-PL"/>
              </w:rPr>
              <w:lastRenderedPageBreak/>
              <w:t>wszystkie istotne środowiskowe, gospodarcze i społeczne efekty.</w:t>
            </w:r>
          </w:p>
          <w:p w14:paraId="5FBB8B3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66" w:type="dxa"/>
            <w:hideMark/>
          </w:tcPr>
          <w:p w14:paraId="38D9908E"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D8B78EC"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tc>
        <w:tc>
          <w:tcPr>
            <w:tcW w:w="1899" w:type="dxa"/>
            <w:hideMark/>
          </w:tcPr>
          <w:p w14:paraId="3AAAA756"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3FE27186"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w:t>
            </w:r>
          </w:p>
          <w:p w14:paraId="6D29EF01"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właściwie przeprowadzonej analizy finansowej i ekonomicznej, bądź gdy analiza obciążona jest błędami/brakami, ale pozwalająca ustalić poprawną wartość </w:t>
            </w:r>
            <w:r w:rsidRPr="00B4224A">
              <w:rPr>
                <w:rFonts w:ascii="Arial" w:eastAsia="Times New Roman" w:hAnsi="Arial" w:cs="Arial"/>
                <w:sz w:val="24"/>
                <w:szCs w:val="24"/>
                <w:lang w:eastAsia="pl-PL"/>
              </w:rPr>
              <w:lastRenderedPageBreak/>
              <w:t>dofinansowania, trwałość finansową projektu i inne parametry projektu, dla których parametry finansowe i ekonomiczne są istotne.</w:t>
            </w:r>
          </w:p>
          <w:p w14:paraId="7CC2E495"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w:t>
            </w:r>
          </w:p>
          <w:p w14:paraId="5BC825A2"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analiza finansowa i ekonomiczna przeprowadzona niewłaściwie. W takiej sytuacji ma </w:t>
            </w:r>
            <w:r w:rsidRPr="00B4224A">
              <w:rPr>
                <w:rFonts w:ascii="Arial" w:eastAsia="Times New Roman" w:hAnsi="Arial" w:cs="Arial"/>
                <w:sz w:val="24"/>
                <w:szCs w:val="24"/>
                <w:lang w:eastAsia="pl-PL"/>
              </w:rPr>
              <w:lastRenderedPageBreak/>
              <w:t xml:space="preserve">miejsce negatywna ocena merytoryczna projektu. </w:t>
            </w:r>
          </w:p>
          <w:p w14:paraId="28589B48"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uzasadnia dokonaną ocenę</w:t>
            </w:r>
          </w:p>
          <w:p w14:paraId="6A49F46B"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p>
        </w:tc>
        <w:tc>
          <w:tcPr>
            <w:tcW w:w="1701" w:type="dxa"/>
            <w:hideMark/>
          </w:tcPr>
          <w:p w14:paraId="32328FDA"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812367" w:rsidRPr="00B4224A" w14:paraId="19E69BA1" w14:textId="77777777" w:rsidTr="006B59F6">
        <w:trPr>
          <w:trHeight w:val="300"/>
        </w:trPr>
        <w:tc>
          <w:tcPr>
            <w:tcW w:w="866" w:type="dxa"/>
            <w:hideMark/>
          </w:tcPr>
          <w:p w14:paraId="2A4D266F" w14:textId="77777777" w:rsidR="00812367" w:rsidRPr="00B4224A" w:rsidRDefault="00812367" w:rsidP="00812367">
            <w:pPr>
              <w:numPr>
                <w:ilvl w:val="0"/>
                <w:numId w:val="22"/>
              </w:numPr>
              <w:spacing w:before="100" w:beforeAutospacing="1" w:after="100" w:afterAutospacing="1" w:line="276"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673" w:type="dxa"/>
            <w:hideMark/>
          </w:tcPr>
          <w:p w14:paraId="6CC845E4"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Efektywność inwestycji </w:t>
            </w:r>
          </w:p>
        </w:tc>
        <w:tc>
          <w:tcPr>
            <w:tcW w:w="5265" w:type="dxa"/>
            <w:hideMark/>
          </w:tcPr>
          <w:p w14:paraId="5A2E264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37803629"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Opis sposobu weryfikacji kryterium: </w:t>
            </w:r>
          </w:p>
          <w:p w14:paraId="4CAA82BC"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46636D8"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w:t>
            </w:r>
            <w:r w:rsidRPr="00B4224A">
              <w:rPr>
                <w:rFonts w:ascii="Arial" w:eastAsia="Times New Roman" w:hAnsi="Arial" w:cs="Arial"/>
                <w:sz w:val="24"/>
                <w:szCs w:val="24"/>
                <w:lang w:eastAsia="pl-PL"/>
              </w:rPr>
              <w:lastRenderedPageBreak/>
              <w:t xml:space="preserve">projektu pomocą publiczną. Ekspert bazując na doświadczeniu i wiedzy merytorycznej w zakresie ocenianego obszaru, dokonuje weryfikacji czy odstępstwo od w/w zasady jest uzasadnione. </w:t>
            </w:r>
          </w:p>
          <w:p w14:paraId="2052E06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267874EA"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 formule grantowej/parasolowej – działanie 2.6, 10.6</w:t>
            </w:r>
          </w:p>
          <w:p w14:paraId="7629FB23"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Wsparcie dla klimatu – działanie 2.8, 2.9</w:t>
            </w:r>
          </w:p>
          <w:p w14:paraId="43946E84"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Wzmocnienie potencjału służb ratowniczych – działanie 2.10</w:t>
            </w:r>
          </w:p>
          <w:p w14:paraId="3060A116"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Ochrona przyrody i bioróżnorodność – działanie 2.14, 2.15</w:t>
            </w:r>
          </w:p>
          <w:p w14:paraId="06108863"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Rekultywacja terenów zdegradowanych – działanie 2.16, 10.7 </w:t>
            </w:r>
          </w:p>
          <w:p w14:paraId="434CE4B4" w14:textId="77777777" w:rsidR="00812367" w:rsidRPr="00B4224A" w:rsidRDefault="00812367" w:rsidP="002648A7">
            <w:pPr>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Regionalne Trasy Rowerowe – działanie 3.3,</w:t>
            </w:r>
          </w:p>
          <w:p w14:paraId="77EEA3B4"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Drogi wojewódzkie – działanie 4.1</w:t>
            </w:r>
          </w:p>
          <w:p w14:paraId="190B3A30"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Drogi powiatowe i gminne – działanie 4.2</w:t>
            </w:r>
          </w:p>
          <w:p w14:paraId="5EC3F869"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Szkolnictwo zawodowe prowadzone przez powiaty bądź na zlecenie powiatów – w ramach działania 8.3, 10.14</w:t>
            </w:r>
          </w:p>
          <w:p w14:paraId="1F1DBE18"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E-zdrowie – działanie 8.5</w:t>
            </w:r>
          </w:p>
          <w:p w14:paraId="5312726A"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Infrastruktura ochrony zdrowia – działanie 8.6</w:t>
            </w:r>
          </w:p>
          <w:p w14:paraId="05BC223B" w14:textId="77777777" w:rsidR="00812367" w:rsidRPr="00B4224A" w:rsidRDefault="00812367" w:rsidP="002648A7">
            <w:pPr>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Wsparcie planowania transformacji – działanie 10.10 </w:t>
            </w:r>
          </w:p>
          <w:p w14:paraId="1D79DD1F" w14:textId="77777777" w:rsidR="00812367" w:rsidRPr="00B4224A" w:rsidRDefault="00812367" w:rsidP="002648A7">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eastAsia="Times New Roman" w:hAnsi="Arial" w:cs="Arial"/>
                <w:sz w:val="24"/>
                <w:szCs w:val="24"/>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w:t>
            </w:r>
            <w:r w:rsidRPr="00B4224A">
              <w:rPr>
                <w:rFonts w:ascii="Arial" w:eastAsia="Times New Roman" w:hAnsi="Arial" w:cs="Arial"/>
                <w:sz w:val="24"/>
                <w:szCs w:val="24"/>
                <w:lang w:eastAsia="pl-PL"/>
              </w:rPr>
              <w:lastRenderedPageBreak/>
              <w:t>zamierzeń wnioskodawcy, opisanych we wniosku o dofinansowanie na etapie oceny projektu przed wyborem do dofinansowania.</w:t>
            </w:r>
          </w:p>
          <w:p w14:paraId="67249DC4" w14:textId="77777777" w:rsidR="00812367" w:rsidRPr="00B4224A" w:rsidRDefault="00812367" w:rsidP="002648A7">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w:t>
            </w:r>
            <w:r w:rsidRPr="00B4224A">
              <w:rPr>
                <w:rFonts w:ascii="Arial" w:eastAsia="Times New Roman" w:hAnsi="Arial" w:cs="Arial"/>
                <w:sz w:val="24"/>
                <w:szCs w:val="24"/>
                <w:lang w:eastAsia="pl-PL"/>
              </w:rPr>
              <w:lastRenderedPageBreak/>
              <w:t>osiągnięcia zakładanych efektów (użyteczność).</w:t>
            </w:r>
          </w:p>
          <w:p w14:paraId="02C54831"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656F2710"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43A718B"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0122E573"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1899" w:type="dxa"/>
            <w:hideMark/>
          </w:tcPr>
          <w:p w14:paraId="32C91B4F"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01" w:type="dxa"/>
            <w:hideMark/>
          </w:tcPr>
          <w:p w14:paraId="682977D2"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812367" w:rsidRPr="00B4224A" w14:paraId="0814265F" w14:textId="77777777" w:rsidTr="006B59F6">
        <w:trPr>
          <w:trHeight w:val="300"/>
        </w:trPr>
        <w:tc>
          <w:tcPr>
            <w:tcW w:w="866" w:type="dxa"/>
            <w:hideMark/>
          </w:tcPr>
          <w:p w14:paraId="3EED33AC" w14:textId="77777777" w:rsidR="00812367" w:rsidRPr="00B4224A" w:rsidRDefault="00812367" w:rsidP="00812367">
            <w:pPr>
              <w:numPr>
                <w:ilvl w:val="0"/>
                <w:numId w:val="22"/>
              </w:numPr>
              <w:spacing w:before="100" w:beforeAutospacing="1" w:after="100" w:afterAutospacing="1" w:line="276"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673" w:type="dxa"/>
            <w:hideMark/>
          </w:tcPr>
          <w:p w14:paraId="2CE43290"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Stabilność finansowa i organizacyjna Wnioskodawcy/partnerów/ operatorów do utrzymania trwałości projektu </w:t>
            </w:r>
          </w:p>
        </w:tc>
        <w:tc>
          <w:tcPr>
            <w:tcW w:w="5265" w:type="dxa"/>
            <w:hideMark/>
          </w:tcPr>
          <w:p w14:paraId="4974996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192EBFA5"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Opis sposobu weryfikacji kryterium:</w:t>
            </w:r>
          </w:p>
          <w:p w14:paraId="317AD6A3"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5088FFCF"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hAnsi="Arial" w:cs="Arial"/>
                <w:sz w:val="24"/>
                <w:szCs w:val="24"/>
              </w:rPr>
              <w:tab/>
            </w:r>
            <w:r w:rsidRPr="00B4224A">
              <w:rPr>
                <w:rFonts w:ascii="Arial" w:eastAsia="Times New Roman"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w:t>
            </w:r>
            <w:r w:rsidRPr="00B4224A">
              <w:rPr>
                <w:rFonts w:ascii="Arial" w:eastAsia="Times New Roman" w:hAnsi="Arial" w:cs="Arial"/>
                <w:sz w:val="24"/>
                <w:szCs w:val="24"/>
                <w:lang w:eastAsia="pl-PL"/>
              </w:rPr>
              <w:lastRenderedPageBreak/>
              <w:t xml:space="preserve">finansowych, rok po roku, na przestrzeni całego okresu odniesienia. Trwałość finansowa inwestycji zostaje potwierdzona, jeśli skumulowane przepływy pieniężne netto nie są ujemne we wszystkich latach analizy. </w:t>
            </w:r>
          </w:p>
          <w:p w14:paraId="32CA84D0"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1E55E686"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w:t>
            </w:r>
            <w:r w:rsidRPr="00B4224A">
              <w:rPr>
                <w:rFonts w:ascii="Arial" w:eastAsia="Times New Roman" w:hAnsi="Arial" w:cs="Arial"/>
                <w:sz w:val="24"/>
                <w:szCs w:val="24"/>
                <w:lang w:eastAsia="pl-PL"/>
              </w:rPr>
              <w:lastRenderedPageBreak/>
              <w:t>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607956AE"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29FF2D4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w:t>
            </w:r>
            <w:r w:rsidRPr="00B4224A">
              <w:rPr>
                <w:rFonts w:ascii="Arial" w:hAnsi="Arial" w:cs="Arial"/>
                <w:sz w:val="24"/>
                <w:szCs w:val="24"/>
              </w:rPr>
              <w:tab/>
            </w:r>
            <w:r w:rsidRPr="00B4224A">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w:t>
            </w:r>
            <w:r w:rsidRPr="00B4224A">
              <w:rPr>
                <w:rFonts w:ascii="Arial" w:eastAsia="Times New Roman" w:hAnsi="Arial" w:cs="Arial"/>
                <w:sz w:val="24"/>
                <w:szCs w:val="24"/>
                <w:lang w:eastAsia="pl-PL"/>
              </w:rPr>
              <w:lastRenderedPageBreak/>
              <w:t>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D799F84"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7DE95BCC"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C73A0EF"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7AF1EC87"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1899" w:type="dxa"/>
            <w:hideMark/>
          </w:tcPr>
          <w:p w14:paraId="2E0BF30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1B7804E1"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Uznaje się, iż w projekcie o całkowitym koszcie kwalifikowanym poniżej 50 mln zł, deklaracja jednostki samorządu terytorialnego (oraz ich </w:t>
            </w:r>
            <w:r w:rsidRPr="00B4224A">
              <w:rPr>
                <w:rFonts w:ascii="Arial" w:eastAsia="Times New Roman" w:hAnsi="Arial" w:cs="Arial"/>
                <w:sz w:val="24"/>
                <w:szCs w:val="24"/>
                <w:lang w:eastAsia="pl-PL"/>
              </w:rPr>
              <w:lastRenderedPageBreak/>
              <w:t>związków i stowarzyszeń oraz jednostek w których JST ma ponad 50% udziałów lub akcji) o zapewnieniu finansowania ze środków budżetowych dla utrzymania trwałości finansowej projektu jest wystarczająca w tym zakresie. </w:t>
            </w:r>
          </w:p>
        </w:tc>
        <w:tc>
          <w:tcPr>
            <w:tcW w:w="1701" w:type="dxa"/>
            <w:hideMark/>
          </w:tcPr>
          <w:p w14:paraId="665FE655"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812367" w:rsidRPr="00B4224A" w14:paraId="2BBB4C51" w14:textId="77777777" w:rsidTr="006B59F6">
        <w:trPr>
          <w:trHeight w:val="300"/>
        </w:trPr>
        <w:tc>
          <w:tcPr>
            <w:tcW w:w="866" w:type="dxa"/>
            <w:hideMark/>
          </w:tcPr>
          <w:p w14:paraId="0810B5AD" w14:textId="77777777" w:rsidR="00812367" w:rsidRPr="00B4224A" w:rsidRDefault="00812367" w:rsidP="00812367">
            <w:pPr>
              <w:numPr>
                <w:ilvl w:val="0"/>
                <w:numId w:val="22"/>
              </w:numPr>
              <w:spacing w:before="100" w:beforeAutospacing="1" w:after="100" w:afterAutospacing="1" w:line="276"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673" w:type="dxa"/>
            <w:hideMark/>
          </w:tcPr>
          <w:p w14:paraId="041652F1"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Realność wskaźników projektu </w:t>
            </w:r>
          </w:p>
        </w:tc>
        <w:tc>
          <w:tcPr>
            <w:tcW w:w="5265" w:type="dxa"/>
            <w:hideMark/>
          </w:tcPr>
          <w:p w14:paraId="677897A7"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Weryfikacji podlega deklarowana wartość wskaźników produktu i rezultatu, w szczególności: </w:t>
            </w:r>
          </w:p>
          <w:p w14:paraId="185ED30A" w14:textId="77777777" w:rsidR="00812367" w:rsidRPr="00B4224A" w:rsidRDefault="00812367" w:rsidP="00812367">
            <w:pPr>
              <w:numPr>
                <w:ilvl w:val="0"/>
                <w:numId w:val="19"/>
              </w:numPr>
              <w:spacing w:before="100" w:beforeAutospacing="1" w:after="100" w:afterAutospacing="1" w:line="276" w:lineRule="auto"/>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wskaźnik jest prawidłowy (zastosowano prawidłowe </w:t>
            </w:r>
            <w:r w:rsidRPr="00B4224A">
              <w:rPr>
                <w:rFonts w:ascii="Arial" w:eastAsia="Times New Roman" w:hAnsi="Arial" w:cs="Arial"/>
                <w:sz w:val="24"/>
                <w:szCs w:val="24"/>
                <w:lang w:eastAsia="pl-PL"/>
              </w:rPr>
              <w:lastRenderedPageBreak/>
              <w:t>wyliczenia, czy jednostka miary jest prawidłowa). </w:t>
            </w:r>
          </w:p>
          <w:p w14:paraId="08D2D34B"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zastosowana metodologia pomiaru jest adekwatna do założonego typu projektu (czy przyjęto prawidłowe założenia). </w:t>
            </w:r>
          </w:p>
          <w:p w14:paraId="1B00A19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0244D4D0"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5A4DBB2"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408D14FB"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1899" w:type="dxa"/>
            <w:hideMark/>
          </w:tcPr>
          <w:p w14:paraId="7F6ABF71"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3D3F3F39"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 </w:t>
            </w:r>
          </w:p>
          <w:p w14:paraId="3E693A36"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potwierdzenia </w:t>
            </w:r>
            <w:r w:rsidRPr="00B4224A">
              <w:rPr>
                <w:rFonts w:ascii="Arial" w:eastAsia="Times New Roman" w:hAnsi="Arial" w:cs="Arial"/>
                <w:sz w:val="24"/>
                <w:szCs w:val="24"/>
                <w:lang w:eastAsia="pl-PL"/>
              </w:rPr>
              <w:lastRenderedPageBreak/>
              <w:t>prawidłowości wskaźników i metodologii oraz w przypadku błędów/braków, które nie przeszkadzają ustalić prawidłowej wartości wskaźników. </w:t>
            </w:r>
          </w:p>
          <w:p w14:paraId="65EAEE8D"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 </w:t>
            </w:r>
          </w:p>
          <w:p w14:paraId="00CE7543"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Wartości wskaźników określone niewłaściwie. Brak możliwości ustalenia ich </w:t>
            </w:r>
            <w:r w:rsidRPr="00B4224A">
              <w:rPr>
                <w:rFonts w:ascii="Arial" w:eastAsia="Times New Roman" w:hAnsi="Arial" w:cs="Arial"/>
                <w:sz w:val="24"/>
                <w:szCs w:val="24"/>
                <w:lang w:eastAsia="pl-PL"/>
              </w:rPr>
              <w:lastRenderedPageBreak/>
              <w:t>prawidłowej wartości z uwagi na liczne niespójności w tym zakresie w dokumentacji aplikacyjnej. </w:t>
            </w:r>
          </w:p>
        </w:tc>
        <w:tc>
          <w:tcPr>
            <w:tcW w:w="1701" w:type="dxa"/>
            <w:hideMark/>
          </w:tcPr>
          <w:p w14:paraId="0B753D3F" w14:textId="77777777" w:rsidR="00812367" w:rsidRPr="00B4224A" w:rsidRDefault="00812367" w:rsidP="002648A7">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bl>
    <w:p w14:paraId="23B38F44" w14:textId="77777777" w:rsidR="00812367" w:rsidRPr="00E10945" w:rsidRDefault="00812367" w:rsidP="00812367">
      <w:pPr>
        <w:pStyle w:val="Nagwek1"/>
        <w:rPr>
          <w:rFonts w:ascii="Arial" w:hAnsi="Arial" w:cs="Arial"/>
          <w:i/>
          <w:szCs w:val="24"/>
        </w:rPr>
      </w:pPr>
      <w:r w:rsidRPr="00E10945">
        <w:rPr>
          <w:rFonts w:ascii="Arial" w:hAnsi="Arial" w:cs="Arial"/>
          <w:szCs w:val="24"/>
        </w:rPr>
        <w:lastRenderedPageBreak/>
        <w:t>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2.12"/>
      </w:tblPr>
      <w:tblGrid>
        <w:gridCol w:w="665"/>
        <w:gridCol w:w="2275"/>
        <w:gridCol w:w="3945"/>
        <w:gridCol w:w="2177"/>
        <w:gridCol w:w="3580"/>
        <w:gridCol w:w="1829"/>
      </w:tblGrid>
      <w:tr w:rsidR="00812367" w:rsidRPr="00E10945" w14:paraId="61896C5B" w14:textId="77777777" w:rsidTr="65401068">
        <w:trPr>
          <w:tblHeader/>
        </w:trPr>
        <w:tc>
          <w:tcPr>
            <w:tcW w:w="656" w:type="dxa"/>
            <w:shd w:val="clear" w:color="auto" w:fill="BFBFBF" w:themeFill="background1" w:themeFillShade="BF"/>
          </w:tcPr>
          <w:p w14:paraId="3A8BD77B" w14:textId="77777777" w:rsidR="00812367" w:rsidRPr="00E10945" w:rsidRDefault="00812367" w:rsidP="002648A7">
            <w:pPr>
              <w:pStyle w:val="Akapitzlist"/>
              <w:spacing w:after="120"/>
              <w:ind w:left="22"/>
              <w:rPr>
                <w:rFonts w:ascii="Arial" w:hAnsi="Arial" w:cs="Arial"/>
                <w:b/>
                <w:sz w:val="24"/>
                <w:szCs w:val="24"/>
              </w:rPr>
            </w:pPr>
            <w:r w:rsidRPr="00E10945">
              <w:rPr>
                <w:rFonts w:ascii="Arial" w:hAnsi="Arial" w:cs="Arial"/>
                <w:b/>
                <w:sz w:val="24"/>
                <w:szCs w:val="24"/>
              </w:rPr>
              <w:t>L.p.</w:t>
            </w:r>
          </w:p>
        </w:tc>
        <w:tc>
          <w:tcPr>
            <w:tcW w:w="2288" w:type="dxa"/>
            <w:shd w:val="clear" w:color="auto" w:fill="BFBFBF" w:themeFill="background1" w:themeFillShade="BF"/>
          </w:tcPr>
          <w:p w14:paraId="21D650DE" w14:textId="77777777" w:rsidR="00812367" w:rsidRPr="00E10945" w:rsidRDefault="00812367" w:rsidP="002648A7">
            <w:pPr>
              <w:spacing w:after="120"/>
              <w:rPr>
                <w:rFonts w:ascii="Arial" w:hAnsi="Arial" w:cs="Arial"/>
                <w:b/>
                <w:sz w:val="24"/>
                <w:szCs w:val="24"/>
              </w:rPr>
            </w:pPr>
            <w:r w:rsidRPr="00E10945">
              <w:rPr>
                <w:rFonts w:ascii="Arial" w:hAnsi="Arial" w:cs="Arial"/>
                <w:b/>
                <w:sz w:val="24"/>
                <w:szCs w:val="24"/>
              </w:rPr>
              <w:t>Nazwa kryterium</w:t>
            </w:r>
          </w:p>
        </w:tc>
        <w:tc>
          <w:tcPr>
            <w:tcW w:w="3985" w:type="dxa"/>
            <w:shd w:val="clear" w:color="auto" w:fill="BFBFBF" w:themeFill="background1" w:themeFillShade="BF"/>
          </w:tcPr>
          <w:p w14:paraId="35E91D8E" w14:textId="77777777" w:rsidR="00812367" w:rsidRPr="00E10945" w:rsidRDefault="00812367" w:rsidP="002648A7">
            <w:pPr>
              <w:spacing w:after="120"/>
              <w:rPr>
                <w:rFonts w:ascii="Arial" w:hAnsi="Arial" w:cs="Arial"/>
                <w:b/>
                <w:sz w:val="24"/>
                <w:szCs w:val="24"/>
              </w:rPr>
            </w:pPr>
            <w:r w:rsidRPr="00E10945">
              <w:rPr>
                <w:rFonts w:ascii="Arial" w:hAnsi="Arial" w:cs="Arial"/>
                <w:b/>
                <w:sz w:val="24"/>
                <w:szCs w:val="24"/>
              </w:rPr>
              <w:t>Definicja kryterium</w:t>
            </w:r>
          </w:p>
        </w:tc>
        <w:tc>
          <w:tcPr>
            <w:tcW w:w="2045" w:type="dxa"/>
            <w:shd w:val="clear" w:color="auto" w:fill="BFBFBF" w:themeFill="background1" w:themeFillShade="BF"/>
          </w:tcPr>
          <w:p w14:paraId="4B1FA04F" w14:textId="77777777" w:rsidR="00812367" w:rsidRPr="00E10945" w:rsidRDefault="00812367" w:rsidP="002648A7">
            <w:pPr>
              <w:spacing w:after="120"/>
              <w:rPr>
                <w:rFonts w:ascii="Arial" w:hAnsi="Arial" w:cs="Arial"/>
                <w:b/>
                <w:sz w:val="24"/>
                <w:szCs w:val="24"/>
              </w:rPr>
            </w:pPr>
            <w:r w:rsidRPr="00E10945">
              <w:rPr>
                <w:rFonts w:ascii="Arial" w:hAnsi="Arial" w:cs="Arial"/>
                <w:b/>
                <w:sz w:val="24"/>
                <w:szCs w:val="24"/>
              </w:rPr>
              <w:t>Czy spełnienie kryterium jest konieczne do przyznania dofinansowania?</w:t>
            </w:r>
          </w:p>
        </w:tc>
        <w:tc>
          <w:tcPr>
            <w:tcW w:w="3657" w:type="dxa"/>
            <w:shd w:val="clear" w:color="auto" w:fill="BFBFBF" w:themeFill="background1" w:themeFillShade="BF"/>
          </w:tcPr>
          <w:p w14:paraId="1755DABB" w14:textId="77777777" w:rsidR="00812367" w:rsidRPr="00E10945" w:rsidRDefault="00812367" w:rsidP="002648A7">
            <w:pPr>
              <w:spacing w:after="120"/>
              <w:rPr>
                <w:rFonts w:ascii="Arial" w:hAnsi="Arial" w:cs="Arial"/>
                <w:b/>
                <w:sz w:val="24"/>
                <w:szCs w:val="24"/>
              </w:rPr>
            </w:pPr>
            <w:r w:rsidRPr="00E10945">
              <w:rPr>
                <w:rFonts w:ascii="Arial" w:hAnsi="Arial" w:cs="Arial"/>
                <w:b/>
                <w:sz w:val="24"/>
                <w:szCs w:val="24"/>
              </w:rPr>
              <w:t>Sposób oceny kryterium</w:t>
            </w:r>
          </w:p>
        </w:tc>
        <w:tc>
          <w:tcPr>
            <w:tcW w:w="1840" w:type="dxa"/>
            <w:shd w:val="clear" w:color="auto" w:fill="BFBFBF" w:themeFill="background1" w:themeFillShade="BF"/>
          </w:tcPr>
          <w:p w14:paraId="53B4FE37" w14:textId="77777777" w:rsidR="00812367" w:rsidRPr="00E10945" w:rsidRDefault="00812367" w:rsidP="002648A7">
            <w:pPr>
              <w:spacing w:after="120"/>
              <w:rPr>
                <w:rFonts w:ascii="Arial" w:hAnsi="Arial" w:cs="Arial"/>
                <w:b/>
                <w:sz w:val="24"/>
                <w:szCs w:val="24"/>
              </w:rPr>
            </w:pPr>
            <w:r w:rsidRPr="00E10945">
              <w:rPr>
                <w:rFonts w:ascii="Arial" w:hAnsi="Arial" w:cs="Arial"/>
                <w:b/>
                <w:sz w:val="24"/>
                <w:szCs w:val="24"/>
              </w:rPr>
              <w:t>Szczególne znaczenie kryterium</w:t>
            </w:r>
          </w:p>
        </w:tc>
      </w:tr>
      <w:tr w:rsidR="00812367" w:rsidRPr="00E10945" w14:paraId="685657CF" w14:textId="77777777" w:rsidTr="65401068">
        <w:tc>
          <w:tcPr>
            <w:tcW w:w="656" w:type="dxa"/>
          </w:tcPr>
          <w:p w14:paraId="700EB9DE" w14:textId="77777777" w:rsidR="00812367" w:rsidRPr="00E10945" w:rsidRDefault="00812367" w:rsidP="002648A7">
            <w:pPr>
              <w:spacing w:after="120"/>
              <w:jc w:val="center"/>
              <w:rPr>
                <w:rFonts w:ascii="Arial" w:hAnsi="Arial" w:cs="Arial"/>
                <w:sz w:val="24"/>
                <w:szCs w:val="24"/>
              </w:rPr>
            </w:pPr>
            <w:r w:rsidRPr="00E10945">
              <w:rPr>
                <w:rFonts w:ascii="Arial" w:hAnsi="Arial" w:cs="Arial"/>
                <w:sz w:val="24"/>
                <w:szCs w:val="24"/>
              </w:rPr>
              <w:t>1.</w:t>
            </w:r>
          </w:p>
        </w:tc>
        <w:tc>
          <w:tcPr>
            <w:tcW w:w="2288" w:type="dxa"/>
          </w:tcPr>
          <w:p w14:paraId="7FFD7F8B" w14:textId="1FEEF755" w:rsidR="00812367" w:rsidRPr="00E10945" w:rsidRDefault="00812367" w:rsidP="1AEC13E5">
            <w:pPr>
              <w:spacing w:before="100" w:beforeAutospacing="1" w:after="100" w:afterAutospacing="1"/>
              <w:textAlignment w:val="baseline"/>
              <w:rPr>
                <w:rFonts w:ascii="Arial" w:eastAsia="Times New Roman" w:hAnsi="Arial" w:cs="Arial"/>
                <w:sz w:val="24"/>
                <w:szCs w:val="24"/>
                <w:lang w:eastAsia="pl-PL"/>
              </w:rPr>
            </w:pPr>
            <w:r w:rsidRPr="1AEC13E5">
              <w:rPr>
                <w:rFonts w:ascii="Arial" w:eastAsia="Times New Roman" w:hAnsi="Arial" w:cs="Arial"/>
                <w:sz w:val="24"/>
                <w:szCs w:val="24"/>
                <w:lang w:eastAsia="pl-PL"/>
              </w:rPr>
              <w:t xml:space="preserve">Zgodność projektu z zasadą </w:t>
            </w:r>
            <w:r w:rsidR="50F6E57B" w:rsidRPr="1AEC13E5">
              <w:rPr>
                <w:rFonts w:ascii="Arial" w:eastAsia="Times New Roman" w:hAnsi="Arial" w:cs="Arial"/>
                <w:sz w:val="24"/>
                <w:szCs w:val="24"/>
                <w:lang w:eastAsia="pl-PL"/>
              </w:rPr>
              <w:t>hierarchii</w:t>
            </w:r>
            <w:r w:rsidRPr="1AEC13E5">
              <w:rPr>
                <w:rFonts w:ascii="Arial" w:eastAsia="Times New Roman" w:hAnsi="Arial" w:cs="Arial"/>
                <w:sz w:val="24"/>
                <w:szCs w:val="24"/>
                <w:lang w:eastAsia="pl-PL"/>
              </w:rPr>
              <w:t xml:space="preserve"> postępowania z odpadami.</w:t>
            </w:r>
          </w:p>
        </w:tc>
        <w:tc>
          <w:tcPr>
            <w:tcW w:w="3985" w:type="dxa"/>
          </w:tcPr>
          <w:p w14:paraId="3B12E81D" w14:textId="77777777" w:rsidR="00812367" w:rsidRPr="00E10945" w:rsidRDefault="00812367" w:rsidP="002648A7">
            <w:pPr>
              <w:spacing w:before="100" w:beforeAutospacing="1" w:after="100" w:afterAutospacing="1"/>
              <w:textAlignment w:val="baseline"/>
              <w:rPr>
                <w:rFonts w:ascii="Arial" w:hAnsi="Arial" w:cs="Arial"/>
                <w:color w:val="000000"/>
                <w:sz w:val="24"/>
                <w:szCs w:val="24"/>
                <w:lang w:eastAsia="pl-PL"/>
              </w:rPr>
            </w:pPr>
            <w:r w:rsidRPr="00E10945">
              <w:rPr>
                <w:rFonts w:ascii="Arial" w:hAnsi="Arial" w:cs="Arial"/>
                <w:color w:val="000000"/>
                <w:sz w:val="24"/>
                <w:szCs w:val="24"/>
                <w:lang w:eastAsia="pl-PL"/>
              </w:rPr>
              <w:t xml:space="preserve">W kryterium badane będzie czy projekt realizuje zasadę hierarchii postępowania z odpadami tj. </w:t>
            </w:r>
          </w:p>
          <w:p w14:paraId="6CF20607" w14:textId="77777777" w:rsidR="00812367" w:rsidRPr="00E10945" w:rsidRDefault="00812367" w:rsidP="00812367">
            <w:pPr>
              <w:pStyle w:val="Akapitzlist"/>
              <w:numPr>
                <w:ilvl w:val="0"/>
                <w:numId w:val="23"/>
              </w:num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zapobieganie</w:t>
            </w:r>
          </w:p>
          <w:p w14:paraId="1BDE29D0" w14:textId="77777777" w:rsidR="00812367" w:rsidRPr="00E10945" w:rsidRDefault="00812367" w:rsidP="00812367">
            <w:pPr>
              <w:pStyle w:val="Akapitzlist"/>
              <w:numPr>
                <w:ilvl w:val="0"/>
                <w:numId w:val="23"/>
              </w:num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ponowne używanie</w:t>
            </w:r>
          </w:p>
          <w:p w14:paraId="34F6E05D" w14:textId="77777777" w:rsidR="00812367" w:rsidRPr="00E10945" w:rsidRDefault="00812367" w:rsidP="00812367">
            <w:pPr>
              <w:pStyle w:val="Akapitzlist"/>
              <w:numPr>
                <w:ilvl w:val="0"/>
                <w:numId w:val="23"/>
              </w:num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recykling i inne formy odzysku</w:t>
            </w:r>
          </w:p>
          <w:p w14:paraId="7E0A146A" w14:textId="6796ADD7" w:rsidR="00812367" w:rsidRPr="00E10945" w:rsidRDefault="00812367" w:rsidP="00812367">
            <w:pPr>
              <w:pStyle w:val="Akapitzlist"/>
              <w:numPr>
                <w:ilvl w:val="0"/>
                <w:numId w:val="23"/>
              </w:num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unieszkodliwienie</w:t>
            </w:r>
            <w:r w:rsidR="008042E4">
              <w:rPr>
                <w:rFonts w:ascii="Arial" w:eastAsia="Times New Roman" w:hAnsi="Arial" w:cs="Arial"/>
                <w:sz w:val="24"/>
                <w:szCs w:val="24"/>
                <w:lang w:eastAsia="pl-PL"/>
              </w:rPr>
              <w:t xml:space="preserve"> (z wyłączeniem termicznego przetwarzania)</w:t>
            </w:r>
          </w:p>
        </w:tc>
        <w:tc>
          <w:tcPr>
            <w:tcW w:w="2045" w:type="dxa"/>
          </w:tcPr>
          <w:p w14:paraId="166BB053" w14:textId="1BD1D3D0" w:rsidR="65401068" w:rsidRDefault="00812367" w:rsidP="00E9152E">
            <w:pPr>
              <w:pStyle w:val="paragraph"/>
              <w:spacing w:line="276" w:lineRule="auto"/>
              <w:textAlignment w:val="baseline"/>
              <w:rPr>
                <w:rFonts w:ascii="Arial" w:hAnsi="Arial" w:cs="Arial"/>
              </w:rPr>
            </w:pPr>
            <w:r w:rsidRPr="65401068">
              <w:rPr>
                <w:rFonts w:ascii="Arial" w:hAnsi="Arial" w:cs="Arial"/>
              </w:rPr>
              <w:lastRenderedPageBreak/>
              <w:t>TAK</w:t>
            </w:r>
          </w:p>
          <w:p w14:paraId="761A0441" w14:textId="43DA1F66" w:rsidR="0B5F0187" w:rsidRDefault="0B5F0187" w:rsidP="65401068">
            <w:pPr>
              <w:pStyle w:val="paragraph"/>
              <w:spacing w:line="276" w:lineRule="auto"/>
              <w:rPr>
                <w:rFonts w:ascii="Arial" w:hAnsi="Arial" w:cs="Arial"/>
              </w:rPr>
            </w:pPr>
            <w:r w:rsidRPr="65401068">
              <w:rPr>
                <w:rFonts w:ascii="Arial" w:hAnsi="Arial" w:cs="Arial"/>
              </w:rPr>
              <w:t>Kryterium</w:t>
            </w:r>
          </w:p>
          <w:p w14:paraId="13134C85" w14:textId="0C474BD4" w:rsidR="00812367" w:rsidRPr="00E10945" w:rsidRDefault="00812367" w:rsidP="002648A7">
            <w:pPr>
              <w:pStyle w:val="paragraph"/>
              <w:spacing w:line="276" w:lineRule="auto"/>
              <w:textAlignment w:val="baseline"/>
              <w:rPr>
                <w:rFonts w:ascii="Arial" w:hAnsi="Arial" w:cs="Arial"/>
              </w:rPr>
            </w:pPr>
            <w:r w:rsidRPr="65401068">
              <w:rPr>
                <w:rFonts w:ascii="Arial" w:hAnsi="Arial" w:cs="Arial"/>
              </w:rPr>
              <w:lastRenderedPageBreak/>
              <w:t>podlega uzupełnieniu</w:t>
            </w:r>
          </w:p>
        </w:tc>
        <w:tc>
          <w:tcPr>
            <w:tcW w:w="3657" w:type="dxa"/>
          </w:tcPr>
          <w:p w14:paraId="7AD894B2" w14:textId="77777777" w:rsidR="00812367" w:rsidRDefault="00812367" w:rsidP="002648A7">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0/1</w:t>
            </w:r>
          </w:p>
          <w:p w14:paraId="61CD7057" w14:textId="77777777" w:rsidR="006B59F6" w:rsidRPr="00B4224A" w:rsidRDefault="006B59F6" w:rsidP="006B59F6">
            <w:pPr>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666B4236" w14:textId="215BA73A" w:rsidR="006B59F6" w:rsidRPr="006B59F6" w:rsidRDefault="006B59F6" w:rsidP="006B59F6">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 pkt – nie spełnia kryterium – ocena negatywna</w:t>
            </w:r>
          </w:p>
        </w:tc>
        <w:tc>
          <w:tcPr>
            <w:tcW w:w="1840" w:type="dxa"/>
          </w:tcPr>
          <w:p w14:paraId="3BD7FECA" w14:textId="3C370E0B" w:rsidR="00812367" w:rsidRPr="00E10945" w:rsidRDefault="00726EB2" w:rsidP="002648A7">
            <w:pPr>
              <w:spacing w:before="100" w:beforeAutospacing="1" w:after="100" w:afterAutospacing="1"/>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Nie dotyczy</w:t>
            </w:r>
          </w:p>
        </w:tc>
      </w:tr>
      <w:tr w:rsidR="00812367" w:rsidRPr="00E10945" w14:paraId="00A4D777" w14:textId="77777777" w:rsidTr="65401068">
        <w:tc>
          <w:tcPr>
            <w:tcW w:w="656" w:type="dxa"/>
          </w:tcPr>
          <w:p w14:paraId="53738487" w14:textId="77777777" w:rsidR="00812367" w:rsidRPr="00E10945" w:rsidRDefault="00812367" w:rsidP="002648A7">
            <w:pPr>
              <w:spacing w:after="120"/>
              <w:jc w:val="center"/>
              <w:rPr>
                <w:rFonts w:ascii="Arial" w:hAnsi="Arial" w:cs="Arial"/>
                <w:sz w:val="24"/>
                <w:szCs w:val="24"/>
              </w:rPr>
            </w:pPr>
            <w:r w:rsidRPr="00E10945">
              <w:rPr>
                <w:rFonts w:ascii="Arial" w:hAnsi="Arial" w:cs="Arial"/>
                <w:sz w:val="24"/>
                <w:szCs w:val="24"/>
              </w:rPr>
              <w:t>2.</w:t>
            </w:r>
          </w:p>
        </w:tc>
        <w:tc>
          <w:tcPr>
            <w:tcW w:w="2288" w:type="dxa"/>
          </w:tcPr>
          <w:p w14:paraId="11B01134" w14:textId="77777777" w:rsidR="00812367" w:rsidRPr="00E10945" w:rsidRDefault="00812367" w:rsidP="002648A7">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Zgodność projektu z warunkiem dot. celowości inwestycji</w:t>
            </w:r>
          </w:p>
        </w:tc>
        <w:tc>
          <w:tcPr>
            <w:tcW w:w="3985" w:type="dxa"/>
          </w:tcPr>
          <w:p w14:paraId="2A90A96B" w14:textId="77777777" w:rsidR="00812367" w:rsidRPr="00E10945" w:rsidRDefault="00812367" w:rsidP="002648A7">
            <w:pPr>
              <w:autoSpaceDE w:val="0"/>
              <w:autoSpaceDN w:val="0"/>
              <w:adjustRightInd w:val="0"/>
              <w:jc w:val="both"/>
              <w:rPr>
                <w:rFonts w:ascii="Arial" w:eastAsia="Times New Roman" w:hAnsi="Arial" w:cs="Arial"/>
                <w:sz w:val="24"/>
                <w:szCs w:val="24"/>
                <w:lang w:eastAsia="pl-PL"/>
              </w:rPr>
            </w:pPr>
            <w:r w:rsidRPr="00E10945">
              <w:rPr>
                <w:rFonts w:ascii="Arial" w:eastAsia="Times New Roman" w:hAnsi="Arial" w:cs="Arial"/>
                <w:sz w:val="24"/>
                <w:szCs w:val="24"/>
                <w:lang w:eastAsia="pl-PL"/>
              </w:rPr>
              <w:t>W kryterium badane będzie czy inwestycja w modernizację MBP prowadzi do wprowadzenia nowych procesów technologicznych w celu zwiększenia stopnia odzysku surowców dobrej jakości (pod warunkiem wykazania wzrostu odzysku surowców w wyniku realizacji projektu oraz zapewnienie wysokiej jakości produktu na końcu procesu).</w:t>
            </w:r>
          </w:p>
        </w:tc>
        <w:tc>
          <w:tcPr>
            <w:tcW w:w="2045" w:type="dxa"/>
          </w:tcPr>
          <w:p w14:paraId="0AC04A30" w14:textId="77777777" w:rsidR="00812367" w:rsidRPr="00E10945" w:rsidRDefault="00812367" w:rsidP="002648A7">
            <w:pPr>
              <w:spacing w:before="100" w:beforeAutospacing="1" w:after="100" w:afterAutospacing="1"/>
              <w:textAlignment w:val="baseline"/>
              <w:rPr>
                <w:rFonts w:ascii="Arial" w:eastAsia="Times New Roman" w:hAnsi="Arial" w:cs="Arial"/>
                <w:sz w:val="24"/>
                <w:szCs w:val="24"/>
                <w:lang w:eastAsia="pl-PL"/>
              </w:rPr>
            </w:pPr>
            <w:r w:rsidRPr="65401068">
              <w:rPr>
                <w:rFonts w:ascii="Arial" w:eastAsia="Times New Roman" w:hAnsi="Arial" w:cs="Arial"/>
                <w:sz w:val="24"/>
                <w:szCs w:val="24"/>
                <w:lang w:eastAsia="pl-PL"/>
              </w:rPr>
              <w:t>TAK</w:t>
            </w:r>
          </w:p>
          <w:p w14:paraId="0DEABE86" w14:textId="6B93A808" w:rsidR="00812367" w:rsidRPr="00E10945" w:rsidRDefault="77C8C964" w:rsidP="65401068">
            <w:pPr>
              <w:spacing w:before="100" w:beforeAutospacing="1" w:after="100" w:afterAutospacing="1"/>
              <w:textAlignment w:val="baseline"/>
              <w:rPr>
                <w:rFonts w:ascii="Arial" w:eastAsia="Times New Roman" w:hAnsi="Arial" w:cs="Arial"/>
                <w:sz w:val="24"/>
                <w:szCs w:val="24"/>
                <w:lang w:eastAsia="pl-PL"/>
              </w:rPr>
            </w:pPr>
            <w:r w:rsidRPr="65401068">
              <w:rPr>
                <w:rFonts w:ascii="Arial" w:eastAsia="Times New Roman" w:hAnsi="Arial" w:cs="Arial"/>
                <w:sz w:val="24"/>
                <w:szCs w:val="24"/>
                <w:lang w:eastAsia="pl-PL"/>
              </w:rPr>
              <w:t xml:space="preserve">Kryterium </w:t>
            </w:r>
            <w:r w:rsidR="00812367" w:rsidRPr="65401068">
              <w:rPr>
                <w:rFonts w:ascii="Arial" w:eastAsia="Times New Roman" w:hAnsi="Arial" w:cs="Arial"/>
                <w:sz w:val="24"/>
                <w:szCs w:val="24"/>
                <w:lang w:eastAsia="pl-PL"/>
              </w:rPr>
              <w:t>podlega uzupełnieniu</w:t>
            </w:r>
          </w:p>
        </w:tc>
        <w:tc>
          <w:tcPr>
            <w:tcW w:w="3657" w:type="dxa"/>
          </w:tcPr>
          <w:p w14:paraId="5D79A9BF" w14:textId="77777777" w:rsidR="00812367" w:rsidRDefault="00812367" w:rsidP="002648A7">
            <w:pPr>
              <w:autoSpaceDE w:val="0"/>
              <w:autoSpaceDN w:val="0"/>
              <w:adjustRightInd w:val="0"/>
              <w:rPr>
                <w:rFonts w:ascii="Arial" w:eastAsia="Times New Roman" w:hAnsi="Arial" w:cs="Arial"/>
                <w:sz w:val="24"/>
                <w:szCs w:val="24"/>
                <w:lang w:eastAsia="pl-PL"/>
              </w:rPr>
            </w:pPr>
            <w:r w:rsidRPr="00E10945">
              <w:rPr>
                <w:rFonts w:ascii="Arial" w:eastAsia="Times New Roman" w:hAnsi="Arial" w:cs="Arial"/>
                <w:sz w:val="24"/>
                <w:szCs w:val="24"/>
                <w:lang w:eastAsia="pl-PL"/>
              </w:rPr>
              <w:t>0/1</w:t>
            </w:r>
          </w:p>
          <w:p w14:paraId="58F183F7" w14:textId="42792151"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019BDF2B" w14:textId="44606E6D" w:rsidR="006B59F6" w:rsidRPr="00E10945" w:rsidRDefault="006B59F6" w:rsidP="00E9152E">
            <w:pPr>
              <w:autoSpaceDE w:val="0"/>
              <w:autoSpaceDN w:val="0"/>
              <w:adjustRightInd w:val="0"/>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w:t>
            </w:r>
          </w:p>
        </w:tc>
        <w:tc>
          <w:tcPr>
            <w:tcW w:w="1840" w:type="dxa"/>
          </w:tcPr>
          <w:p w14:paraId="53CD28D8" w14:textId="77777777" w:rsidR="00812367" w:rsidRPr="00E10945" w:rsidRDefault="00812367" w:rsidP="002648A7">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w:t>
            </w:r>
          </w:p>
        </w:tc>
      </w:tr>
      <w:tr w:rsidR="00812367" w:rsidRPr="00E10945" w14:paraId="4DFF138F" w14:textId="77777777" w:rsidTr="65401068">
        <w:tc>
          <w:tcPr>
            <w:tcW w:w="656" w:type="dxa"/>
          </w:tcPr>
          <w:p w14:paraId="4EEAABDF" w14:textId="77777777" w:rsidR="00812367" w:rsidRPr="00E10945" w:rsidRDefault="00812367" w:rsidP="002648A7">
            <w:pPr>
              <w:spacing w:after="120"/>
              <w:jc w:val="center"/>
              <w:rPr>
                <w:rFonts w:ascii="Arial" w:hAnsi="Arial" w:cs="Arial"/>
                <w:sz w:val="24"/>
                <w:szCs w:val="24"/>
              </w:rPr>
            </w:pPr>
            <w:r w:rsidRPr="00E10945">
              <w:rPr>
                <w:rFonts w:ascii="Arial" w:hAnsi="Arial" w:cs="Arial"/>
                <w:sz w:val="24"/>
                <w:szCs w:val="24"/>
              </w:rPr>
              <w:t>3.</w:t>
            </w:r>
          </w:p>
        </w:tc>
        <w:tc>
          <w:tcPr>
            <w:tcW w:w="2288" w:type="dxa"/>
          </w:tcPr>
          <w:p w14:paraId="1BD07A55" w14:textId="77777777" w:rsidR="00812367" w:rsidRPr="00E10945" w:rsidRDefault="00812367" w:rsidP="002648A7">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 xml:space="preserve">Zgodność projektu z warunkami określonymi w załączniku nr 10 </w:t>
            </w:r>
            <w:r w:rsidRPr="00E10945">
              <w:rPr>
                <w:rFonts w:ascii="Arial" w:eastAsia="Times New Roman" w:hAnsi="Arial" w:cs="Arial"/>
                <w:sz w:val="24"/>
                <w:szCs w:val="24"/>
                <w:lang w:eastAsia="pl-PL"/>
              </w:rPr>
              <w:lastRenderedPageBreak/>
              <w:t>do Kontraktu Programowego.</w:t>
            </w:r>
          </w:p>
        </w:tc>
        <w:tc>
          <w:tcPr>
            <w:tcW w:w="3985" w:type="dxa"/>
          </w:tcPr>
          <w:p w14:paraId="27F1D889" w14:textId="77777777" w:rsidR="00812367" w:rsidRPr="00E10945" w:rsidRDefault="00812367" w:rsidP="002648A7">
            <w:pPr>
              <w:autoSpaceDE w:val="0"/>
              <w:autoSpaceDN w:val="0"/>
              <w:adjustRightInd w:val="0"/>
              <w:jc w:val="both"/>
              <w:rPr>
                <w:rFonts w:ascii="Arial" w:eastAsia="Times New Roman" w:hAnsi="Arial" w:cs="Arial"/>
                <w:sz w:val="24"/>
                <w:szCs w:val="24"/>
                <w:lang w:eastAsia="pl-PL"/>
              </w:rPr>
            </w:pPr>
            <w:r w:rsidRPr="00E10945">
              <w:rPr>
                <w:rFonts w:ascii="Arial" w:eastAsia="Times New Roman" w:hAnsi="Arial" w:cs="Arial"/>
                <w:sz w:val="24"/>
                <w:szCs w:val="24"/>
                <w:lang w:eastAsia="pl-PL"/>
              </w:rPr>
              <w:lastRenderedPageBreak/>
              <w:t xml:space="preserve">W kryterium badane będzie czy projekt złożony w trybie niekonkurencyjnym jest zgodny ze wszystkimi warunkami określonymi dla niego indywidualnie w </w:t>
            </w:r>
            <w:r w:rsidRPr="00E10945">
              <w:rPr>
                <w:rFonts w:ascii="Arial" w:eastAsia="Times New Roman" w:hAnsi="Arial" w:cs="Arial"/>
                <w:sz w:val="24"/>
                <w:szCs w:val="24"/>
                <w:lang w:eastAsia="pl-PL"/>
              </w:rPr>
              <w:lastRenderedPageBreak/>
              <w:t>załączniku nr 10 do Kontraktu Programowego.</w:t>
            </w:r>
          </w:p>
        </w:tc>
        <w:tc>
          <w:tcPr>
            <w:tcW w:w="2045" w:type="dxa"/>
          </w:tcPr>
          <w:p w14:paraId="040CC874" w14:textId="77777777" w:rsidR="00812367" w:rsidRPr="00E10945" w:rsidRDefault="00812367" w:rsidP="002648A7">
            <w:pPr>
              <w:pStyle w:val="paragraph"/>
              <w:spacing w:line="276" w:lineRule="auto"/>
              <w:textAlignment w:val="baseline"/>
              <w:rPr>
                <w:rFonts w:ascii="Arial" w:hAnsi="Arial" w:cs="Arial"/>
              </w:rPr>
            </w:pPr>
            <w:r w:rsidRPr="65401068">
              <w:rPr>
                <w:rFonts w:ascii="Arial" w:hAnsi="Arial" w:cs="Arial"/>
              </w:rPr>
              <w:lastRenderedPageBreak/>
              <w:t>TAK</w:t>
            </w:r>
          </w:p>
          <w:p w14:paraId="7972C4F5" w14:textId="7325D44B" w:rsidR="00812367" w:rsidRPr="00E10945" w:rsidRDefault="43F8F7CF" w:rsidP="65401068">
            <w:pPr>
              <w:spacing w:before="100" w:beforeAutospacing="1" w:after="100" w:afterAutospacing="1"/>
              <w:textAlignment w:val="baseline"/>
              <w:rPr>
                <w:rFonts w:ascii="Arial" w:hAnsi="Arial" w:cs="Arial"/>
                <w:sz w:val="24"/>
                <w:szCs w:val="24"/>
                <w:lang w:eastAsia="pl-PL"/>
              </w:rPr>
            </w:pPr>
            <w:r w:rsidRPr="65401068">
              <w:rPr>
                <w:rFonts w:ascii="Arial" w:hAnsi="Arial" w:cs="Arial"/>
                <w:sz w:val="24"/>
                <w:szCs w:val="24"/>
              </w:rPr>
              <w:t xml:space="preserve">Kryterium </w:t>
            </w:r>
            <w:r w:rsidR="00812367" w:rsidRPr="65401068">
              <w:rPr>
                <w:rFonts w:ascii="Arial" w:hAnsi="Arial" w:cs="Arial"/>
                <w:sz w:val="24"/>
                <w:szCs w:val="24"/>
              </w:rPr>
              <w:t>podlega uzupełnieniu</w:t>
            </w:r>
          </w:p>
        </w:tc>
        <w:tc>
          <w:tcPr>
            <w:tcW w:w="3657" w:type="dxa"/>
          </w:tcPr>
          <w:p w14:paraId="2DB53BA3" w14:textId="77777777" w:rsidR="00812367" w:rsidRDefault="00812367" w:rsidP="002648A7">
            <w:pPr>
              <w:autoSpaceDE w:val="0"/>
              <w:autoSpaceDN w:val="0"/>
              <w:adjustRightInd w:val="0"/>
              <w:rPr>
                <w:rFonts w:ascii="Arial" w:eastAsia="Times New Roman" w:hAnsi="Arial" w:cs="Arial"/>
                <w:sz w:val="24"/>
                <w:szCs w:val="24"/>
                <w:lang w:eastAsia="pl-PL"/>
              </w:rPr>
            </w:pPr>
            <w:r w:rsidRPr="00E10945">
              <w:rPr>
                <w:rFonts w:ascii="Arial" w:eastAsia="Times New Roman" w:hAnsi="Arial" w:cs="Arial"/>
                <w:sz w:val="24"/>
                <w:szCs w:val="24"/>
                <w:lang w:eastAsia="pl-PL"/>
              </w:rPr>
              <w:t>0/1</w:t>
            </w:r>
          </w:p>
          <w:p w14:paraId="59CD67B0" w14:textId="4BCC70FB" w:rsidR="006B59F6" w:rsidRDefault="006B59F6" w:rsidP="00E9152E">
            <w:pPr>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42FADB66" w14:textId="380FA8D3" w:rsidR="006B59F6" w:rsidRPr="00E10945" w:rsidRDefault="006B59F6" w:rsidP="00E9152E">
            <w:pPr>
              <w:autoSpaceDE w:val="0"/>
              <w:autoSpaceDN w:val="0"/>
              <w:adjustRightInd w:val="0"/>
              <w:spacing w:before="240"/>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w:t>
            </w:r>
          </w:p>
        </w:tc>
        <w:tc>
          <w:tcPr>
            <w:tcW w:w="1840" w:type="dxa"/>
          </w:tcPr>
          <w:p w14:paraId="2CBF9D37" w14:textId="77777777" w:rsidR="00812367" w:rsidRPr="00E10945" w:rsidRDefault="00812367" w:rsidP="002648A7">
            <w:pPr>
              <w:spacing w:before="100" w:beforeAutospacing="1" w:after="100" w:afterAutospacing="1"/>
              <w:textAlignment w:val="baseline"/>
              <w:rPr>
                <w:rFonts w:ascii="Arial" w:eastAsia="Times New Roman" w:hAnsi="Arial" w:cs="Arial"/>
                <w:sz w:val="24"/>
                <w:szCs w:val="24"/>
                <w:lang w:eastAsia="pl-PL"/>
              </w:rPr>
            </w:pPr>
            <w:r w:rsidRPr="00E10945">
              <w:rPr>
                <w:rFonts w:ascii="Arial" w:eastAsia="Times New Roman" w:hAnsi="Arial" w:cs="Arial"/>
                <w:sz w:val="24"/>
                <w:szCs w:val="24"/>
                <w:lang w:eastAsia="pl-PL"/>
              </w:rPr>
              <w:t>Nie dotyczy</w:t>
            </w:r>
          </w:p>
        </w:tc>
      </w:tr>
    </w:tbl>
    <w:p w14:paraId="4D9E20DA" w14:textId="77777777" w:rsidR="0067499D" w:rsidRDefault="0067499D"/>
    <w:sectPr w:rsidR="0067499D" w:rsidSect="003B0E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F35E" w14:textId="77777777" w:rsidR="001A2B78" w:rsidRDefault="001A2B78" w:rsidP="003B0E5F">
      <w:pPr>
        <w:spacing w:after="0" w:line="240" w:lineRule="auto"/>
      </w:pPr>
      <w:r>
        <w:separator/>
      </w:r>
    </w:p>
  </w:endnote>
  <w:endnote w:type="continuationSeparator" w:id="0">
    <w:p w14:paraId="301462D7" w14:textId="77777777" w:rsidR="001A2B78" w:rsidRDefault="001A2B78" w:rsidP="003B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EECF" w14:textId="77777777" w:rsidR="003B0E5F" w:rsidRDefault="003B0E5F" w:rsidP="003B0E5F">
    <w:pPr>
      <w:pStyle w:val="Stopka"/>
      <w:jc w:val="center"/>
    </w:pPr>
    <w:r>
      <w:rPr>
        <w:noProof/>
        <w:lang w:eastAsia="pl-PL"/>
      </w:rPr>
      <w:drawing>
        <wp:inline distT="0" distB="0" distL="0" distR="0" wp14:anchorId="1B0FE9FD" wp14:editId="2C2AB2B5">
          <wp:extent cx="5755005" cy="420370"/>
          <wp:effectExtent l="0" t="0" r="0" b="0"/>
          <wp:docPr id="1" name="Obraz 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1322" w14:textId="77777777" w:rsidR="001A2B78" w:rsidRDefault="001A2B78" w:rsidP="003B0E5F">
      <w:pPr>
        <w:spacing w:after="0" w:line="240" w:lineRule="auto"/>
      </w:pPr>
      <w:r>
        <w:separator/>
      </w:r>
    </w:p>
  </w:footnote>
  <w:footnote w:type="continuationSeparator" w:id="0">
    <w:p w14:paraId="750208DF" w14:textId="77777777" w:rsidR="001A2B78" w:rsidRDefault="001A2B78" w:rsidP="003B0E5F">
      <w:pPr>
        <w:spacing w:after="0" w:line="240" w:lineRule="auto"/>
      </w:pPr>
      <w:r>
        <w:continuationSeparator/>
      </w:r>
    </w:p>
  </w:footnote>
  <w:footnote w:id="1">
    <w:p w14:paraId="11DDAFD6" w14:textId="77777777" w:rsidR="00812367" w:rsidRDefault="00812367" w:rsidP="00812367">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00AF4CFC" w14:textId="77777777" w:rsidR="00812367" w:rsidRDefault="00812367" w:rsidP="00812367">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6029016A" w14:textId="77777777" w:rsidR="00812367" w:rsidRDefault="00812367" w:rsidP="00812367">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8EAA" w14:textId="3ED290B2" w:rsidR="00706C65" w:rsidRPr="00EB4B90" w:rsidRDefault="00706C65" w:rsidP="00706C65">
    <w:pPr>
      <w:pStyle w:val="Default"/>
      <w:spacing w:line="360" w:lineRule="auto"/>
      <w:rPr>
        <w:sz w:val="22"/>
      </w:rPr>
    </w:pPr>
    <w:r w:rsidRPr="00EB4B90">
      <w:rPr>
        <w:sz w:val="22"/>
      </w:rPr>
      <w:t>Załącznik do Uchwały nr</w:t>
    </w:r>
    <w:r>
      <w:rPr>
        <w:sz w:val="22"/>
      </w:rPr>
      <w:t xml:space="preserve"> </w:t>
    </w:r>
    <w:r w:rsidR="00AD1255">
      <w:rPr>
        <w:sz w:val="22"/>
      </w:rPr>
      <w:t xml:space="preserve">96 </w:t>
    </w:r>
    <w:r w:rsidRPr="00EB4B90">
      <w:rPr>
        <w:sz w:val="22"/>
      </w:rPr>
      <w:t xml:space="preserve">Komitetu Monitorującego Fundusze Europejskie dla Śląskiego 2021-2027  z dnia </w:t>
    </w:r>
    <w:r w:rsidR="004F0D5A">
      <w:rPr>
        <w:sz w:val="22"/>
      </w:rPr>
      <w:t xml:space="preserve">12 </w:t>
    </w:r>
    <w:r w:rsidR="004F0D5A" w:rsidRPr="004F0D5A">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Pr>
        <w:sz w:val="22"/>
      </w:rPr>
      <w:t>FESL.</w:t>
    </w:r>
    <w:r w:rsidRPr="00706C65">
      <w:rPr>
        <w:rFonts w:eastAsiaTheme="minorEastAsia"/>
        <w:bCs/>
        <w:iCs/>
        <w:sz w:val="22"/>
        <w:szCs w:val="20"/>
      </w:rPr>
      <w:t>02.12 Gospodarka odpadami komunalnymi typ: Budowa/rozwój/modernizacja zakładów odzysku i unieszkodliwiania odpadów - tryb niekonkurencyjny</w:t>
    </w:r>
    <w:r w:rsidR="00792B0D">
      <w:rPr>
        <w:rFonts w:eastAsiaTheme="minorEastAsia"/>
        <w:bCs/>
        <w:iCs/>
        <w:sz w:val="22"/>
        <w:szCs w:val="20"/>
      </w:rPr>
      <w:t>.</w:t>
    </w:r>
  </w:p>
  <w:bookmarkEnd w:id="1"/>
  <w:bookmarkEnd w:id="2"/>
  <w:p w14:paraId="20A68CC9" w14:textId="77777777" w:rsidR="00706C65" w:rsidRDefault="00706C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5"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7"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17" w15:restartNumberingAfterBreak="0">
    <w:nsid w:val="616E0C72"/>
    <w:multiLevelType w:val="hybridMultilevel"/>
    <w:tmpl w:val="6EF2BCFE"/>
    <w:lvl w:ilvl="0" w:tplc="D75C9D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C88B20"/>
    <w:multiLevelType w:val="hybridMultilevel"/>
    <w:tmpl w:val="776E2F9A"/>
    <w:lvl w:ilvl="0" w:tplc="A76E978C">
      <w:start w:val="1"/>
      <w:numFmt w:val="bullet"/>
      <w:lvlText w:val=""/>
      <w:lvlJc w:val="left"/>
      <w:pPr>
        <w:ind w:left="720" w:hanging="360"/>
      </w:pPr>
      <w:rPr>
        <w:rFonts w:ascii="Symbol" w:hAnsi="Symbol" w:hint="default"/>
      </w:rPr>
    </w:lvl>
    <w:lvl w:ilvl="1" w:tplc="7332E3F2">
      <w:start w:val="1"/>
      <w:numFmt w:val="bullet"/>
      <w:lvlText w:val="o"/>
      <w:lvlJc w:val="left"/>
      <w:pPr>
        <w:ind w:left="1440" w:hanging="360"/>
      </w:pPr>
      <w:rPr>
        <w:rFonts w:ascii="Courier New" w:hAnsi="Courier New" w:hint="default"/>
      </w:rPr>
    </w:lvl>
    <w:lvl w:ilvl="2" w:tplc="3A58C304">
      <w:start w:val="1"/>
      <w:numFmt w:val="bullet"/>
      <w:lvlText w:val=""/>
      <w:lvlJc w:val="left"/>
      <w:pPr>
        <w:ind w:left="2160" w:hanging="360"/>
      </w:pPr>
      <w:rPr>
        <w:rFonts w:ascii="Wingdings" w:hAnsi="Wingdings" w:hint="default"/>
      </w:rPr>
    </w:lvl>
    <w:lvl w:ilvl="3" w:tplc="187CC294">
      <w:start w:val="1"/>
      <w:numFmt w:val="bullet"/>
      <w:lvlText w:val=""/>
      <w:lvlJc w:val="left"/>
      <w:pPr>
        <w:ind w:left="2880" w:hanging="360"/>
      </w:pPr>
      <w:rPr>
        <w:rFonts w:ascii="Symbol" w:hAnsi="Symbol" w:hint="default"/>
      </w:rPr>
    </w:lvl>
    <w:lvl w:ilvl="4" w:tplc="20B4094A">
      <w:start w:val="1"/>
      <w:numFmt w:val="bullet"/>
      <w:lvlText w:val="o"/>
      <w:lvlJc w:val="left"/>
      <w:pPr>
        <w:ind w:left="3600" w:hanging="360"/>
      </w:pPr>
      <w:rPr>
        <w:rFonts w:ascii="Courier New" w:hAnsi="Courier New" w:hint="default"/>
      </w:rPr>
    </w:lvl>
    <w:lvl w:ilvl="5" w:tplc="95A45390">
      <w:start w:val="1"/>
      <w:numFmt w:val="bullet"/>
      <w:lvlText w:val=""/>
      <w:lvlJc w:val="left"/>
      <w:pPr>
        <w:ind w:left="4320" w:hanging="360"/>
      </w:pPr>
      <w:rPr>
        <w:rFonts w:ascii="Wingdings" w:hAnsi="Wingdings" w:hint="default"/>
      </w:rPr>
    </w:lvl>
    <w:lvl w:ilvl="6" w:tplc="33968ED4">
      <w:start w:val="1"/>
      <w:numFmt w:val="bullet"/>
      <w:lvlText w:val=""/>
      <w:lvlJc w:val="left"/>
      <w:pPr>
        <w:ind w:left="5040" w:hanging="360"/>
      </w:pPr>
      <w:rPr>
        <w:rFonts w:ascii="Symbol" w:hAnsi="Symbol" w:hint="default"/>
      </w:rPr>
    </w:lvl>
    <w:lvl w:ilvl="7" w:tplc="BEC40494">
      <w:start w:val="1"/>
      <w:numFmt w:val="bullet"/>
      <w:lvlText w:val="o"/>
      <w:lvlJc w:val="left"/>
      <w:pPr>
        <w:ind w:left="5760" w:hanging="360"/>
      </w:pPr>
      <w:rPr>
        <w:rFonts w:ascii="Courier New" w:hAnsi="Courier New" w:hint="default"/>
      </w:rPr>
    </w:lvl>
    <w:lvl w:ilvl="8" w:tplc="E1C28094">
      <w:start w:val="1"/>
      <w:numFmt w:val="bullet"/>
      <w:lvlText w:val=""/>
      <w:lvlJc w:val="left"/>
      <w:pPr>
        <w:ind w:left="6480" w:hanging="360"/>
      </w:pPr>
      <w:rPr>
        <w:rFonts w:ascii="Wingdings" w:hAnsi="Wingdings" w:hint="default"/>
      </w:rPr>
    </w:lvl>
  </w:abstractNum>
  <w:abstractNum w:abstractNumId="1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54E25"/>
    <w:multiLevelType w:val="hybridMultilevel"/>
    <w:tmpl w:val="387C7D28"/>
    <w:lvl w:ilvl="0" w:tplc="E53492A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10"/>
  </w:num>
  <w:num w:numId="5">
    <w:abstractNumId w:val="22"/>
  </w:num>
  <w:num w:numId="6">
    <w:abstractNumId w:val="19"/>
  </w:num>
  <w:num w:numId="7">
    <w:abstractNumId w:val="15"/>
  </w:num>
  <w:num w:numId="8">
    <w:abstractNumId w:val="0"/>
  </w:num>
  <w:num w:numId="9">
    <w:abstractNumId w:val="1"/>
  </w:num>
  <w:num w:numId="10">
    <w:abstractNumId w:val="21"/>
  </w:num>
  <w:num w:numId="11">
    <w:abstractNumId w:val="3"/>
  </w:num>
  <w:num w:numId="12">
    <w:abstractNumId w:val="12"/>
  </w:num>
  <w:num w:numId="13">
    <w:abstractNumId w:val="23"/>
  </w:num>
  <w:num w:numId="14">
    <w:abstractNumId w:val="5"/>
  </w:num>
  <w:num w:numId="15">
    <w:abstractNumId w:val="11"/>
  </w:num>
  <w:num w:numId="16">
    <w:abstractNumId w:val="14"/>
  </w:num>
  <w:num w:numId="17">
    <w:abstractNumId w:val="18"/>
  </w:num>
  <w:num w:numId="18">
    <w:abstractNumId w:val="17"/>
  </w:num>
  <w:num w:numId="19">
    <w:abstractNumId w:val="7"/>
  </w:num>
  <w:num w:numId="20">
    <w:abstractNumId w:val="2"/>
  </w:num>
  <w:num w:numId="21">
    <w:abstractNumId w:val="16"/>
  </w:num>
  <w:num w:numId="22">
    <w:abstractNumId w:val="8"/>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5F"/>
    <w:rsid w:val="00023B45"/>
    <w:rsid w:val="001A2B78"/>
    <w:rsid w:val="001E343A"/>
    <w:rsid w:val="002A7A2F"/>
    <w:rsid w:val="003242FA"/>
    <w:rsid w:val="003B0E5F"/>
    <w:rsid w:val="003B7495"/>
    <w:rsid w:val="003D1ABD"/>
    <w:rsid w:val="0041719C"/>
    <w:rsid w:val="004263CB"/>
    <w:rsid w:val="004F0D5A"/>
    <w:rsid w:val="0067499D"/>
    <w:rsid w:val="006B59F6"/>
    <w:rsid w:val="006C678D"/>
    <w:rsid w:val="00706C65"/>
    <w:rsid w:val="00726EB2"/>
    <w:rsid w:val="00792B0D"/>
    <w:rsid w:val="008042E4"/>
    <w:rsid w:val="00812367"/>
    <w:rsid w:val="008412B1"/>
    <w:rsid w:val="008C397A"/>
    <w:rsid w:val="00AD1255"/>
    <w:rsid w:val="00C8728F"/>
    <w:rsid w:val="00E9152E"/>
    <w:rsid w:val="0B5F0187"/>
    <w:rsid w:val="0B7DFD89"/>
    <w:rsid w:val="108AAFA3"/>
    <w:rsid w:val="16F992DA"/>
    <w:rsid w:val="17CAAC0F"/>
    <w:rsid w:val="188C791D"/>
    <w:rsid w:val="1971F3E6"/>
    <w:rsid w:val="1A1B5C7E"/>
    <w:rsid w:val="1AEC13E5"/>
    <w:rsid w:val="1C724E7D"/>
    <w:rsid w:val="1F487CF9"/>
    <w:rsid w:val="2ADDD425"/>
    <w:rsid w:val="32F447DE"/>
    <w:rsid w:val="3344680A"/>
    <w:rsid w:val="43F8F7CF"/>
    <w:rsid w:val="48C0D40A"/>
    <w:rsid w:val="50F6E57B"/>
    <w:rsid w:val="63B5721E"/>
    <w:rsid w:val="65401068"/>
    <w:rsid w:val="682F175E"/>
    <w:rsid w:val="689AF028"/>
    <w:rsid w:val="69B44671"/>
    <w:rsid w:val="7677D188"/>
    <w:rsid w:val="77C8C964"/>
    <w:rsid w:val="7A0D3CC0"/>
    <w:rsid w:val="7D124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13AE"/>
  <w15:chartTrackingRefBased/>
  <w15:docId w15:val="{B35B6C60-1BD1-452D-BA6A-D4889787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2367"/>
    <w:pPr>
      <w:keepNext/>
      <w:keepLines/>
      <w:spacing w:before="480" w:after="240" w:line="276" w:lineRule="auto"/>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0E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E5F"/>
  </w:style>
  <w:style w:type="paragraph" w:styleId="Stopka">
    <w:name w:val="footer"/>
    <w:basedOn w:val="Normalny"/>
    <w:link w:val="StopkaZnak"/>
    <w:uiPriority w:val="99"/>
    <w:unhideWhenUsed/>
    <w:rsid w:val="003B0E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E5F"/>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uiPriority w:val="34"/>
    <w:qFormat/>
    <w:rsid w:val="00812367"/>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link w:val="Akapitzlist"/>
    <w:uiPriority w:val="34"/>
    <w:qFormat/>
    <w:rsid w:val="00812367"/>
    <w:rPr>
      <w:rFonts w:ascii="Calibri" w:eastAsia="Calibri" w:hAnsi="Calibri" w:cs="Times New Roman"/>
    </w:rPr>
  </w:style>
  <w:style w:type="table" w:styleId="Tabela-Siatka">
    <w:name w:val="Table Grid"/>
    <w:basedOn w:val="Standardowy"/>
    <w:uiPriority w:val="39"/>
    <w:rsid w:val="0081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12367"/>
    <w:rPr>
      <w:rFonts w:eastAsiaTheme="majorEastAsia" w:cstheme="majorBidi"/>
      <w:b/>
      <w:sz w:val="24"/>
      <w:szCs w:val="32"/>
    </w:rPr>
  </w:style>
  <w:style w:type="paragraph" w:customStyle="1" w:styleId="paragraph">
    <w:name w:val="paragraph"/>
    <w:basedOn w:val="Normalny"/>
    <w:rsid w:val="008123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812367"/>
  </w:style>
  <w:style w:type="character" w:customStyle="1" w:styleId="eop">
    <w:name w:val="eop"/>
    <w:rsid w:val="00812367"/>
  </w:style>
  <w:style w:type="character" w:styleId="Hipercze">
    <w:name w:val="Hyperlink"/>
    <w:basedOn w:val="Domylnaczcionkaakapitu"/>
    <w:uiPriority w:val="99"/>
    <w:unhideWhenUsed/>
    <w:rsid w:val="00812367"/>
    <w:rPr>
      <w:color w:val="0563C1" w:themeColor="hyperlink"/>
      <w:u w:val="single"/>
    </w:rPr>
  </w:style>
  <w:style w:type="paragraph" w:styleId="NormalnyWeb">
    <w:name w:val="Normal (Web)"/>
    <w:basedOn w:val="Normalny"/>
    <w:uiPriority w:val="99"/>
    <w:unhideWhenUsed/>
    <w:rsid w:val="00023B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23B45"/>
    <w:rPr>
      <w:b/>
      <w:bCs/>
    </w:rPr>
  </w:style>
  <w:style w:type="paragraph" w:customStyle="1" w:styleId="Default">
    <w:name w:val="Default"/>
    <w:rsid w:val="00023B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4519-E2D4-41CE-A6FD-AECD548F0F7C}">
  <ds:schemaRefs>
    <ds:schemaRef ds:uri="http://schemas.microsoft.com/sharepoint/v3/contenttype/forms"/>
  </ds:schemaRefs>
</ds:datastoreItem>
</file>

<file path=customXml/itemProps2.xml><?xml version="1.0" encoding="utf-8"?>
<ds:datastoreItem xmlns:ds="http://schemas.openxmlformats.org/officeDocument/2006/customXml" ds:itemID="{E9BC4CC4-5884-4B2F-8D47-2CCCAD5C1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DE482-B36C-49DA-8BAD-99D1D20B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5D128-580C-441A-8822-361A54B7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6797</Words>
  <Characters>40787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UMWSL</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96</dc:title>
  <dc:subject>zatwierdzenia kryteriów wyboru projektów dla działania 02.12 Gospodarka odpadami komunalnymi typ: Budowa/rozwój/modernizacja zakładów odzysku i unieszkodliwiania odpadów - tryb niekonkurencyjny, Programu Fundusze Europejskie dla Śląskiego 2021-2027</dc:subject>
  <dc:creator>Dąbrowska Karolina</dc:creator>
  <cp:keywords/>
  <dc:description/>
  <cp:lastModifiedBy>Wnuk Iwona</cp:lastModifiedBy>
  <cp:revision>15</cp:revision>
  <dcterms:created xsi:type="dcterms:W3CDTF">2023-10-05T12:27:00Z</dcterms:created>
  <dcterms:modified xsi:type="dcterms:W3CDTF">2023-10-20T11:53:00Z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