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0B4D" w14:textId="73C71420" w:rsidR="00793CC9" w:rsidRPr="00DA37C5" w:rsidRDefault="009E3B4C" w:rsidP="3B88218A">
      <w:pPr>
        <w:spacing w:after="120" w:line="360" w:lineRule="auto"/>
        <w:jc w:val="center"/>
        <w:rPr>
          <w:rFonts w:asciiTheme="minorHAnsi" w:eastAsiaTheme="minorEastAsia" w:hAnsiTheme="minorHAnsi" w:cstheme="minorBidi"/>
          <w:b/>
          <w:bCs/>
          <w:sz w:val="24"/>
          <w:szCs w:val="24"/>
        </w:rPr>
      </w:pPr>
      <w:bookmarkStart w:id="0" w:name="_Toc416693506"/>
      <w:r w:rsidRPr="3B88218A">
        <w:rPr>
          <w:rFonts w:asciiTheme="minorHAnsi" w:eastAsiaTheme="minorEastAsia" w:hAnsiTheme="minorHAnsi" w:cstheme="minorBidi"/>
          <w:b/>
          <w:bCs/>
          <w:sz w:val="24"/>
          <w:szCs w:val="24"/>
        </w:rPr>
        <w:t>Uchwała nr</w:t>
      </w:r>
      <w:r w:rsidR="001B37EC" w:rsidRPr="3B88218A">
        <w:rPr>
          <w:rFonts w:asciiTheme="minorHAnsi" w:eastAsiaTheme="minorEastAsia" w:hAnsiTheme="minorHAnsi" w:cstheme="minorBidi"/>
          <w:b/>
          <w:bCs/>
          <w:sz w:val="24"/>
          <w:szCs w:val="24"/>
        </w:rPr>
        <w:t xml:space="preserve"> 101</w:t>
      </w:r>
      <w:r>
        <w:br/>
      </w:r>
      <w:r w:rsidR="00793CC9" w:rsidRPr="3B88218A">
        <w:rPr>
          <w:rFonts w:asciiTheme="minorHAnsi" w:eastAsiaTheme="minorEastAsia" w:hAnsiTheme="minorHAnsi" w:cstheme="minorBidi"/>
          <w:b/>
          <w:bCs/>
          <w:sz w:val="24"/>
          <w:szCs w:val="24"/>
        </w:rPr>
        <w:t>Komitetu Monitorującego</w:t>
      </w:r>
      <w:r>
        <w:br/>
      </w:r>
      <w:r w:rsidR="5A3D648C" w:rsidRPr="3B88218A">
        <w:rPr>
          <w:rFonts w:asciiTheme="minorHAnsi" w:eastAsiaTheme="minorEastAsia" w:hAnsiTheme="minorHAnsi" w:cstheme="minorBidi"/>
          <w:b/>
          <w:bCs/>
          <w:sz w:val="24"/>
          <w:szCs w:val="24"/>
        </w:rPr>
        <w:t xml:space="preserve">program </w:t>
      </w:r>
      <w:r w:rsidR="00793CC9" w:rsidRPr="3B88218A">
        <w:rPr>
          <w:rFonts w:asciiTheme="minorHAnsi" w:eastAsiaTheme="minorEastAsia" w:hAnsiTheme="minorHAnsi" w:cstheme="minorBidi"/>
          <w:b/>
          <w:bCs/>
          <w:sz w:val="24"/>
          <w:szCs w:val="24"/>
        </w:rPr>
        <w:t>Fundusze Europejskie dla Śląskiego 2021- 2027</w:t>
      </w:r>
      <w:r>
        <w:br/>
      </w:r>
      <w:r w:rsidR="00793CC9" w:rsidRPr="3B88218A">
        <w:rPr>
          <w:rFonts w:asciiTheme="minorHAnsi" w:eastAsiaTheme="minorEastAsia" w:hAnsiTheme="minorHAnsi" w:cstheme="minorBidi"/>
          <w:b/>
          <w:bCs/>
          <w:sz w:val="24"/>
          <w:szCs w:val="24"/>
        </w:rPr>
        <w:t xml:space="preserve">z </w:t>
      </w:r>
      <w:r w:rsidRPr="3B88218A">
        <w:rPr>
          <w:rFonts w:asciiTheme="minorHAnsi" w:eastAsiaTheme="minorEastAsia" w:hAnsiTheme="minorHAnsi" w:cstheme="minorBidi"/>
          <w:b/>
          <w:bCs/>
          <w:sz w:val="24"/>
          <w:szCs w:val="24"/>
        </w:rPr>
        <w:t xml:space="preserve">dnia </w:t>
      </w:r>
      <w:r w:rsidR="001B37EC" w:rsidRPr="3B88218A">
        <w:rPr>
          <w:rFonts w:asciiTheme="minorHAnsi" w:eastAsiaTheme="minorEastAsia" w:hAnsiTheme="minorHAnsi" w:cstheme="minorBidi"/>
          <w:b/>
          <w:bCs/>
          <w:sz w:val="24"/>
          <w:szCs w:val="24"/>
        </w:rPr>
        <w:t>12</w:t>
      </w:r>
      <w:r w:rsidR="1E47C533" w:rsidRPr="3B88218A">
        <w:rPr>
          <w:rFonts w:asciiTheme="minorHAnsi" w:eastAsiaTheme="minorEastAsia" w:hAnsiTheme="minorHAnsi" w:cstheme="minorBidi"/>
          <w:b/>
          <w:bCs/>
          <w:sz w:val="24"/>
          <w:szCs w:val="24"/>
        </w:rPr>
        <w:t xml:space="preserve"> października </w:t>
      </w:r>
      <w:r w:rsidR="001B37EC" w:rsidRPr="3B88218A">
        <w:rPr>
          <w:rFonts w:asciiTheme="minorHAnsi" w:eastAsiaTheme="minorEastAsia" w:hAnsiTheme="minorHAnsi" w:cstheme="minorBidi"/>
          <w:b/>
          <w:bCs/>
          <w:sz w:val="24"/>
          <w:szCs w:val="24"/>
        </w:rPr>
        <w:t>2023</w:t>
      </w:r>
      <w:r w:rsidRPr="3B88218A">
        <w:rPr>
          <w:rFonts w:asciiTheme="minorHAnsi" w:eastAsiaTheme="minorEastAsia" w:hAnsiTheme="minorHAnsi" w:cstheme="minorBidi"/>
          <w:b/>
          <w:bCs/>
          <w:sz w:val="24"/>
          <w:szCs w:val="24"/>
        </w:rPr>
        <w:t xml:space="preserve"> </w:t>
      </w:r>
      <w:r w:rsidR="00793CC9" w:rsidRPr="3B88218A">
        <w:rPr>
          <w:rFonts w:asciiTheme="minorHAnsi" w:eastAsiaTheme="minorEastAsia" w:hAnsiTheme="minorHAnsi" w:cstheme="minorBidi"/>
          <w:b/>
          <w:bCs/>
          <w:sz w:val="24"/>
          <w:szCs w:val="24"/>
        </w:rPr>
        <w:t>roku</w:t>
      </w:r>
    </w:p>
    <w:p w14:paraId="4F915D7D" w14:textId="52EAC147" w:rsidR="00841334" w:rsidRPr="00C82663" w:rsidRDefault="00793CC9" w:rsidP="3B88218A">
      <w:pPr>
        <w:pStyle w:val="Default"/>
        <w:spacing w:before="120" w:after="120" w:line="360" w:lineRule="auto"/>
        <w:contextualSpacing/>
        <w:jc w:val="center"/>
        <w:rPr>
          <w:rFonts w:asciiTheme="minorHAnsi" w:eastAsiaTheme="minorEastAsia" w:hAnsiTheme="minorHAnsi" w:cstheme="minorBidi"/>
          <w:b/>
          <w:bCs/>
        </w:rPr>
      </w:pPr>
      <w:r w:rsidRPr="3B88218A">
        <w:rPr>
          <w:rFonts w:ascii="Calibri" w:hAnsi="Calibri" w:cs="Times New Roman"/>
          <w:b/>
          <w:bCs/>
        </w:rPr>
        <w:t>w sprawie</w:t>
      </w:r>
      <w:r>
        <w:br/>
      </w:r>
      <w:bookmarkStart w:id="1" w:name="_GoBack"/>
      <w:r w:rsidR="0037477A" w:rsidRPr="3B88218A">
        <w:rPr>
          <w:rFonts w:asciiTheme="minorHAnsi" w:eastAsiaTheme="minorEastAsia" w:hAnsiTheme="minorHAnsi" w:cstheme="minorBidi"/>
          <w:b/>
          <w:bCs/>
        </w:rPr>
        <w:t>zatwierdzenia</w:t>
      </w:r>
      <w:r w:rsidR="00460B24" w:rsidRPr="3B88218A">
        <w:rPr>
          <w:rFonts w:asciiTheme="minorHAnsi" w:eastAsiaTheme="minorEastAsia" w:hAnsiTheme="minorHAnsi" w:cstheme="minorBidi"/>
          <w:b/>
          <w:bCs/>
        </w:rPr>
        <w:t xml:space="preserve"> </w:t>
      </w:r>
      <w:r w:rsidR="0001536D" w:rsidRPr="3B88218A">
        <w:rPr>
          <w:rFonts w:asciiTheme="minorHAnsi" w:eastAsiaTheme="minorEastAsia" w:hAnsiTheme="minorHAnsi" w:cstheme="minorBidi"/>
          <w:b/>
          <w:bCs/>
        </w:rPr>
        <w:t xml:space="preserve">kryteriów wyboru projektów dla działania </w:t>
      </w:r>
      <w:r w:rsidR="00CC0CC3" w:rsidRPr="3B88218A">
        <w:rPr>
          <w:rFonts w:asciiTheme="minorHAnsi" w:eastAsiaTheme="minorEastAsia" w:hAnsiTheme="minorHAnsi" w:cstheme="minorBidi"/>
          <w:b/>
          <w:bCs/>
        </w:rPr>
        <w:t>FE</w:t>
      </w:r>
      <w:r w:rsidR="00087E4C" w:rsidRPr="3B88218A">
        <w:rPr>
          <w:rFonts w:asciiTheme="minorHAnsi" w:eastAsiaTheme="minorEastAsia" w:hAnsiTheme="minorHAnsi" w:cstheme="minorBidi"/>
          <w:b/>
          <w:bCs/>
        </w:rPr>
        <w:t xml:space="preserve"> </w:t>
      </w:r>
      <w:r w:rsidR="00CC0CC3" w:rsidRPr="3B88218A">
        <w:rPr>
          <w:rFonts w:asciiTheme="minorHAnsi" w:eastAsiaTheme="minorEastAsia" w:hAnsiTheme="minorHAnsi" w:cstheme="minorBidi"/>
          <w:b/>
          <w:bCs/>
        </w:rPr>
        <w:t xml:space="preserve">SL </w:t>
      </w:r>
      <w:r w:rsidR="0049036C" w:rsidRPr="3B88218A">
        <w:rPr>
          <w:rFonts w:asciiTheme="minorHAnsi" w:eastAsiaTheme="minorEastAsia" w:hAnsiTheme="minorHAnsi" w:cstheme="minorBidi"/>
          <w:b/>
          <w:bCs/>
        </w:rPr>
        <w:t>10.12</w:t>
      </w:r>
      <w:bookmarkEnd w:id="1"/>
      <w:r w:rsidR="00CC0CC3" w:rsidRPr="3B88218A">
        <w:rPr>
          <w:rFonts w:asciiTheme="minorHAnsi" w:eastAsiaTheme="minorEastAsia" w:hAnsiTheme="minorHAnsi" w:cstheme="minorBidi"/>
          <w:b/>
          <w:bCs/>
        </w:rPr>
        <w:t xml:space="preserve"> </w:t>
      </w:r>
      <w:r w:rsidR="0049036C" w:rsidRPr="3B88218A">
        <w:rPr>
          <w:rFonts w:asciiTheme="minorHAnsi" w:eastAsiaTheme="minorEastAsia" w:hAnsiTheme="minorHAnsi" w:cstheme="minorBidi"/>
          <w:b/>
          <w:bCs/>
        </w:rPr>
        <w:t xml:space="preserve">Poprawa mobilności mieszkańców regionu i spójności transportowej podregionów górniczych </w:t>
      </w:r>
      <w:r w:rsidR="00CC0CC3" w:rsidRPr="3B88218A">
        <w:rPr>
          <w:rFonts w:asciiTheme="minorHAnsi" w:eastAsiaTheme="minorEastAsia" w:hAnsiTheme="minorHAnsi" w:cstheme="minorBidi"/>
          <w:b/>
          <w:bCs/>
        </w:rPr>
        <w:t xml:space="preserve">(tryb </w:t>
      </w:r>
      <w:r w:rsidR="0049036C" w:rsidRPr="3B88218A">
        <w:rPr>
          <w:rFonts w:asciiTheme="minorHAnsi" w:eastAsiaTheme="minorEastAsia" w:hAnsiTheme="minorHAnsi" w:cstheme="minorBidi"/>
          <w:b/>
          <w:bCs/>
        </w:rPr>
        <w:t>nie</w:t>
      </w:r>
      <w:r w:rsidR="00CC0CC3" w:rsidRPr="3B88218A">
        <w:rPr>
          <w:rFonts w:asciiTheme="minorHAnsi" w:eastAsiaTheme="minorEastAsia" w:hAnsiTheme="minorHAnsi" w:cstheme="minorBidi"/>
          <w:b/>
          <w:bCs/>
        </w:rPr>
        <w:t>konkurencyjny) Programu Fundusze Europejskie dla Śląskiego 202</w:t>
      </w:r>
      <w:r w:rsidR="00087E4C" w:rsidRPr="3B88218A">
        <w:rPr>
          <w:rFonts w:asciiTheme="minorHAnsi" w:eastAsiaTheme="minorEastAsia" w:hAnsiTheme="minorHAnsi" w:cstheme="minorBidi"/>
          <w:b/>
          <w:bCs/>
        </w:rPr>
        <w:t>1</w:t>
      </w:r>
      <w:r w:rsidR="00CC0CC3" w:rsidRPr="3B88218A">
        <w:rPr>
          <w:rFonts w:asciiTheme="minorHAnsi" w:eastAsiaTheme="minorEastAsia" w:hAnsiTheme="minorHAnsi" w:cstheme="minorBidi"/>
          <w:b/>
          <w:bCs/>
        </w:rPr>
        <w:t>-2027</w:t>
      </w:r>
      <w:r w:rsidR="00C82663" w:rsidRPr="3B88218A">
        <w:rPr>
          <w:rFonts w:asciiTheme="minorHAnsi" w:eastAsiaTheme="minorEastAsia" w:hAnsiTheme="minorHAnsi" w:cstheme="minorBidi"/>
          <w:b/>
          <w:bCs/>
        </w:rPr>
        <w:t>.</w:t>
      </w:r>
    </w:p>
    <w:p w14:paraId="71250A05" w14:textId="5D3F3F22" w:rsidR="3B88218A" w:rsidRDefault="3B88218A" w:rsidP="3B88218A">
      <w:pPr>
        <w:pStyle w:val="Default"/>
        <w:spacing w:before="120" w:after="120" w:line="360" w:lineRule="auto"/>
        <w:contextualSpacing/>
        <w:jc w:val="center"/>
        <w:rPr>
          <w:rFonts w:asciiTheme="minorHAnsi" w:eastAsiaTheme="minorEastAsia" w:hAnsiTheme="minorHAnsi" w:cstheme="minorBidi"/>
          <w:b/>
          <w:bCs/>
        </w:rPr>
      </w:pPr>
    </w:p>
    <w:p w14:paraId="767B4FC7" w14:textId="77777777" w:rsidR="00793CC9" w:rsidRPr="00DA37C5" w:rsidRDefault="00793CC9" w:rsidP="00793CC9">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Integracji, Funduszu Bezpieczeństwa Wewnętrznego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Instrumentu Wsparcia Finansowego na rzecz Zarządzania Granicami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Polityki Wizowej; art. 19 ustawy z dnia 28 kwietnia 2022 r o zasadach realizacji zadań finansowanych ze środków europejskich w perspektywie finansowej 2021–2027</w:t>
      </w:r>
      <w:r>
        <w:rPr>
          <w:rFonts w:asciiTheme="minorHAnsi" w:eastAsiaTheme="minorEastAsia" w:hAnsiTheme="minorHAnsi" w:cstheme="minorBidi"/>
          <w:iCs/>
          <w:sz w:val="24"/>
          <w:szCs w:val="24"/>
        </w:rPr>
        <w:t>.</w:t>
      </w:r>
    </w:p>
    <w:p w14:paraId="73B07BE7" w14:textId="77777777" w:rsidR="00793CC9" w:rsidRPr="00DA37C5" w:rsidRDefault="00793CC9" w:rsidP="00793CC9">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14225C44" w14:textId="37483C26" w:rsidR="00E33044" w:rsidRPr="0049036C" w:rsidRDefault="0037477A" w:rsidP="00793CC9">
      <w:pPr>
        <w:pStyle w:val="Akapitzlist"/>
        <w:numPr>
          <w:ilvl w:val="0"/>
          <w:numId w:val="1"/>
        </w:numPr>
        <w:spacing w:after="0" w:line="360" w:lineRule="auto"/>
        <w:ind w:left="426" w:hanging="284"/>
        <w:jc w:val="both"/>
        <w:rPr>
          <w:rFonts w:asciiTheme="minorHAnsi" w:eastAsiaTheme="minorEastAsia" w:hAnsiTheme="minorHAnsi" w:cstheme="minorBidi"/>
          <w:iCs/>
          <w:sz w:val="24"/>
          <w:szCs w:val="24"/>
        </w:rPr>
      </w:pPr>
      <w:r w:rsidRPr="0049036C">
        <w:rPr>
          <w:rStyle w:val="Pogrubienie"/>
          <w:rFonts w:asciiTheme="minorHAnsi" w:eastAsiaTheme="minorEastAsia" w:hAnsiTheme="minorHAnsi" w:cstheme="minorBidi"/>
          <w:b w:val="0"/>
          <w:bCs w:val="0"/>
          <w:sz w:val="24"/>
          <w:szCs w:val="24"/>
        </w:rPr>
        <w:t xml:space="preserve">Zatwierdza się </w:t>
      </w:r>
      <w:r w:rsidR="00F5772A" w:rsidRPr="0049036C">
        <w:rPr>
          <w:rStyle w:val="Pogrubienie"/>
          <w:rFonts w:asciiTheme="minorHAnsi" w:eastAsiaTheme="minorEastAsia" w:hAnsiTheme="minorHAnsi" w:cstheme="minorBidi"/>
          <w:b w:val="0"/>
          <w:bCs w:val="0"/>
          <w:sz w:val="24"/>
          <w:szCs w:val="24"/>
        </w:rPr>
        <w:t>kryteria wyboru projektów</w:t>
      </w:r>
      <w:r w:rsidR="0031245C" w:rsidRPr="0049036C">
        <w:rPr>
          <w:rFonts w:asciiTheme="minorHAnsi" w:eastAsiaTheme="minorEastAsia" w:hAnsiTheme="minorHAnsi" w:cstheme="minorBidi"/>
          <w:sz w:val="24"/>
          <w:szCs w:val="24"/>
        </w:rPr>
        <w:t xml:space="preserve"> </w:t>
      </w:r>
      <w:r w:rsidR="00A6025E" w:rsidRPr="0049036C">
        <w:rPr>
          <w:rFonts w:asciiTheme="minorHAnsi" w:eastAsiaTheme="minorEastAsia" w:hAnsiTheme="minorHAnsi" w:cstheme="minorBidi"/>
          <w:sz w:val="24"/>
          <w:szCs w:val="24"/>
        </w:rPr>
        <w:t>dla</w:t>
      </w:r>
      <w:r w:rsidR="0001536D" w:rsidRPr="0049036C">
        <w:rPr>
          <w:rFonts w:asciiTheme="minorHAnsi" w:eastAsiaTheme="minorEastAsia" w:hAnsiTheme="minorHAnsi" w:cstheme="minorBidi"/>
          <w:sz w:val="24"/>
          <w:szCs w:val="24"/>
        </w:rPr>
        <w:t xml:space="preserve"> działania </w:t>
      </w:r>
      <w:r w:rsidR="00CC0CC3" w:rsidRPr="0049036C">
        <w:rPr>
          <w:rFonts w:asciiTheme="minorHAnsi" w:eastAsiaTheme="minorEastAsia" w:hAnsiTheme="minorHAnsi" w:cstheme="minorBidi"/>
          <w:sz w:val="24"/>
          <w:szCs w:val="24"/>
        </w:rPr>
        <w:t>FE</w:t>
      </w:r>
      <w:r w:rsidR="00087E4C" w:rsidRPr="0049036C">
        <w:rPr>
          <w:rFonts w:asciiTheme="minorHAnsi" w:eastAsiaTheme="minorEastAsia" w:hAnsiTheme="minorHAnsi" w:cstheme="minorBidi"/>
          <w:sz w:val="24"/>
          <w:szCs w:val="24"/>
        </w:rPr>
        <w:t xml:space="preserve"> </w:t>
      </w:r>
      <w:r w:rsidR="00CC0CC3" w:rsidRPr="0049036C">
        <w:rPr>
          <w:rFonts w:asciiTheme="minorHAnsi" w:eastAsiaTheme="minorEastAsia" w:hAnsiTheme="minorHAnsi" w:cstheme="minorBidi"/>
          <w:sz w:val="24"/>
          <w:szCs w:val="24"/>
        </w:rPr>
        <w:t xml:space="preserve">SL </w:t>
      </w:r>
      <w:r w:rsidR="0049036C" w:rsidRPr="0049036C">
        <w:rPr>
          <w:rFonts w:asciiTheme="minorHAnsi" w:eastAsiaTheme="minorEastAsia" w:hAnsiTheme="minorHAnsi" w:cstheme="minorBidi"/>
          <w:sz w:val="24"/>
          <w:szCs w:val="24"/>
        </w:rPr>
        <w:t>10.12</w:t>
      </w:r>
      <w:r w:rsidR="00CC0CC3" w:rsidRPr="0049036C">
        <w:rPr>
          <w:rFonts w:asciiTheme="minorHAnsi" w:eastAsiaTheme="minorEastAsia" w:hAnsiTheme="minorHAnsi" w:cstheme="minorBidi"/>
          <w:sz w:val="24"/>
          <w:szCs w:val="24"/>
        </w:rPr>
        <w:t xml:space="preserve"> </w:t>
      </w:r>
      <w:r w:rsidR="0049036C" w:rsidRPr="0049036C">
        <w:rPr>
          <w:rFonts w:asciiTheme="minorHAnsi" w:eastAsiaTheme="minorEastAsia" w:hAnsiTheme="minorHAnsi" w:cstheme="minorBidi"/>
          <w:bCs/>
          <w:iCs/>
          <w:sz w:val="24"/>
          <w:szCs w:val="24"/>
        </w:rPr>
        <w:t>Poprawa mobilności</w:t>
      </w:r>
      <w:r w:rsidR="00915C4F" w:rsidRPr="0049036C">
        <w:rPr>
          <w:rFonts w:asciiTheme="minorHAnsi" w:eastAsiaTheme="minorEastAsia" w:hAnsiTheme="minorHAnsi" w:cstheme="minorBidi"/>
          <w:sz w:val="24"/>
          <w:szCs w:val="24"/>
        </w:rPr>
        <w:t xml:space="preserve"> </w:t>
      </w:r>
      <w:r w:rsidR="0049036C" w:rsidRPr="0049036C">
        <w:rPr>
          <w:rFonts w:asciiTheme="minorHAnsi" w:eastAsiaTheme="minorEastAsia" w:hAnsiTheme="minorHAnsi" w:cstheme="minorBidi"/>
          <w:bCs/>
          <w:iCs/>
          <w:sz w:val="24"/>
          <w:szCs w:val="24"/>
        </w:rPr>
        <w:t xml:space="preserve">mieszkańców regionu i spójności transportowej podregionów górniczych </w:t>
      </w:r>
      <w:r w:rsidR="00CC0CC3" w:rsidRPr="0049036C">
        <w:rPr>
          <w:rFonts w:asciiTheme="minorHAnsi" w:eastAsiaTheme="minorEastAsia" w:hAnsiTheme="minorHAnsi" w:cstheme="minorBidi"/>
          <w:sz w:val="24"/>
          <w:szCs w:val="24"/>
        </w:rPr>
        <w:t xml:space="preserve">(tryb </w:t>
      </w:r>
      <w:r w:rsidR="0049036C" w:rsidRPr="0049036C">
        <w:rPr>
          <w:rFonts w:asciiTheme="minorHAnsi" w:eastAsiaTheme="minorEastAsia" w:hAnsiTheme="minorHAnsi" w:cstheme="minorBidi"/>
          <w:sz w:val="24"/>
          <w:szCs w:val="24"/>
        </w:rPr>
        <w:t>nie</w:t>
      </w:r>
      <w:r w:rsidR="00CC0CC3" w:rsidRPr="0049036C">
        <w:rPr>
          <w:rFonts w:asciiTheme="minorHAnsi" w:eastAsiaTheme="minorEastAsia" w:hAnsiTheme="minorHAnsi" w:cstheme="minorBidi"/>
          <w:sz w:val="24"/>
          <w:szCs w:val="24"/>
        </w:rPr>
        <w:t>konkurencyjny) FE SL 2021-2027</w:t>
      </w:r>
      <w:r w:rsidR="00793CC9" w:rsidRPr="0049036C">
        <w:rPr>
          <w:rFonts w:asciiTheme="minorHAnsi" w:eastAsiaTheme="minorEastAsia" w:hAnsiTheme="minorHAnsi" w:cstheme="minorBidi"/>
          <w:sz w:val="24"/>
          <w:szCs w:val="24"/>
        </w:rPr>
        <w:t>.</w:t>
      </w:r>
    </w:p>
    <w:p w14:paraId="053A5953" w14:textId="77777777" w:rsidR="000B6B8A" w:rsidRPr="00793CC9" w:rsidRDefault="00CA3A97" w:rsidP="00793CC9">
      <w:pPr>
        <w:pStyle w:val="Akapitzlist"/>
        <w:numPr>
          <w:ilvl w:val="0"/>
          <w:numId w:val="1"/>
        </w:numPr>
        <w:spacing w:after="0" w:line="360" w:lineRule="auto"/>
        <w:ind w:left="426" w:hanging="284"/>
        <w:contextualSpacing w:val="0"/>
        <w:jc w:val="both"/>
        <w:rPr>
          <w:rFonts w:asciiTheme="minorHAnsi" w:eastAsiaTheme="minorEastAsia" w:hAnsiTheme="minorHAnsi" w:cstheme="minorBidi"/>
          <w:iCs/>
          <w:sz w:val="24"/>
        </w:rPr>
      </w:pPr>
      <w:r w:rsidRPr="00C82663">
        <w:rPr>
          <w:rFonts w:asciiTheme="minorHAnsi" w:eastAsiaTheme="minorEastAsia" w:hAnsiTheme="minorHAnsi" w:cstheme="minorBidi"/>
          <w:sz w:val="24"/>
        </w:rPr>
        <w:t>Kryteria</w:t>
      </w:r>
      <w:r w:rsidR="002E540D" w:rsidRPr="00C82663">
        <w:rPr>
          <w:rFonts w:asciiTheme="minorHAnsi" w:eastAsiaTheme="minorEastAsia" w:hAnsiTheme="minorHAnsi" w:cstheme="minorBidi"/>
          <w:sz w:val="24"/>
        </w:rPr>
        <w:t xml:space="preserve"> wyboru projektów </w:t>
      </w:r>
      <w:r w:rsidR="002A3FA9" w:rsidRPr="00C82663">
        <w:rPr>
          <w:rFonts w:asciiTheme="minorHAnsi" w:eastAsiaTheme="minorEastAsia" w:hAnsiTheme="minorHAnsi" w:cstheme="minorBidi"/>
          <w:sz w:val="24"/>
        </w:rPr>
        <w:t>stanowią zał</w:t>
      </w:r>
      <w:r w:rsidR="00E2610C" w:rsidRPr="00C82663">
        <w:rPr>
          <w:rFonts w:asciiTheme="minorHAnsi" w:eastAsiaTheme="minorEastAsia" w:hAnsiTheme="minorHAnsi" w:cstheme="minorBidi"/>
          <w:sz w:val="24"/>
        </w:rPr>
        <w:t>ącznik do niniejszej uchwały.</w:t>
      </w:r>
    </w:p>
    <w:p w14:paraId="2A81769B" w14:textId="77777777" w:rsidR="002F453A" w:rsidRPr="00793CC9" w:rsidRDefault="00F5772A" w:rsidP="00793CC9">
      <w:pPr>
        <w:pStyle w:val="Akapitzlist"/>
        <w:tabs>
          <w:tab w:val="left" w:pos="4253"/>
        </w:tabs>
        <w:spacing w:before="120" w:after="120" w:line="360" w:lineRule="auto"/>
        <w:ind w:left="0" w:firstLine="4394"/>
        <w:rPr>
          <w:rFonts w:asciiTheme="minorHAnsi" w:eastAsiaTheme="minorEastAsia" w:hAnsiTheme="minorHAnsi" w:cstheme="minorBidi"/>
          <w:bCs/>
          <w:sz w:val="24"/>
        </w:rPr>
      </w:pPr>
      <w:r w:rsidRPr="00793CC9">
        <w:rPr>
          <w:rFonts w:asciiTheme="minorHAnsi" w:eastAsiaTheme="minorEastAsia" w:hAnsiTheme="minorHAnsi" w:cstheme="minorBidi"/>
          <w:bCs/>
          <w:sz w:val="24"/>
        </w:rPr>
        <w:t>§ 2</w:t>
      </w:r>
    </w:p>
    <w:p w14:paraId="43AFEDA7" w14:textId="77777777" w:rsidR="00CB4EC3" w:rsidRPr="00C82663" w:rsidRDefault="00F5772A" w:rsidP="00C82663">
      <w:pPr>
        <w:spacing w:after="0" w:line="360" w:lineRule="auto"/>
        <w:rPr>
          <w:rFonts w:asciiTheme="minorHAnsi" w:eastAsiaTheme="minorEastAsia" w:hAnsiTheme="minorHAnsi" w:cstheme="minorBidi"/>
          <w:sz w:val="24"/>
        </w:rPr>
      </w:pPr>
      <w:r w:rsidRPr="00C82663">
        <w:rPr>
          <w:rFonts w:asciiTheme="minorHAnsi" w:eastAsiaTheme="minorEastAsia" w:hAnsiTheme="minorHAnsi" w:cstheme="minorBidi"/>
          <w:sz w:val="24"/>
        </w:rPr>
        <w:t>Uchwała wchodzi w życie z dniem podjęcia.</w:t>
      </w:r>
    </w:p>
    <w:bookmarkEnd w:id="0"/>
    <w:p w14:paraId="31BB4AED" w14:textId="2D68F61A" w:rsidR="00793CC9" w:rsidRPr="00793CC9" w:rsidRDefault="004512A3" w:rsidP="004512A3">
      <w:pPr>
        <w:spacing w:before="100" w:beforeAutospacing="1" w:after="480" w:line="360" w:lineRule="auto"/>
        <w:ind w:left="5103" w:right="992"/>
        <w:jc w:val="center"/>
        <w:rPr>
          <w:rFonts w:asciiTheme="minorHAnsi" w:eastAsiaTheme="minorEastAsia" w:hAnsiTheme="minorHAnsi" w:cstheme="minorBidi"/>
          <w:b/>
          <w:bCs/>
          <w:sz w:val="24"/>
          <w:szCs w:val="24"/>
          <w:lang w:eastAsia="pl-PL"/>
        </w:rPr>
      </w:pPr>
      <w:r>
        <w:rPr>
          <w:rFonts w:asciiTheme="minorHAnsi" w:eastAsiaTheme="minorEastAsia" w:hAnsiTheme="minorHAnsi" w:cstheme="minorBidi"/>
          <w:b/>
          <w:bCs/>
          <w:sz w:val="24"/>
          <w:szCs w:val="24"/>
          <w:lang w:eastAsia="pl-PL"/>
        </w:rPr>
        <w:t xml:space="preserve">Zastępca </w:t>
      </w:r>
      <w:r w:rsidR="00793CC9" w:rsidRPr="00793CC9">
        <w:rPr>
          <w:rFonts w:asciiTheme="minorHAnsi" w:eastAsiaTheme="minorEastAsia" w:hAnsiTheme="minorHAnsi" w:cstheme="minorBidi"/>
          <w:b/>
          <w:bCs/>
          <w:sz w:val="24"/>
          <w:szCs w:val="24"/>
          <w:lang w:eastAsia="pl-PL"/>
        </w:rPr>
        <w:t>Przewodnicząc</w:t>
      </w:r>
      <w:r>
        <w:rPr>
          <w:rFonts w:asciiTheme="minorHAnsi" w:eastAsiaTheme="minorEastAsia" w:hAnsiTheme="minorHAnsi" w:cstheme="minorBidi"/>
          <w:b/>
          <w:bCs/>
          <w:sz w:val="24"/>
          <w:szCs w:val="24"/>
          <w:lang w:eastAsia="pl-PL"/>
        </w:rPr>
        <w:t>ego</w:t>
      </w:r>
      <w:r w:rsidR="00793CC9" w:rsidRPr="00793CC9">
        <w:rPr>
          <w:rFonts w:asciiTheme="minorHAnsi" w:eastAsiaTheme="minorEastAsia" w:hAnsiTheme="minorHAnsi" w:cstheme="minorBidi"/>
          <w:b/>
          <w:bCs/>
          <w:sz w:val="24"/>
          <w:szCs w:val="24"/>
          <w:lang w:eastAsia="pl-PL"/>
        </w:rPr>
        <w:br/>
        <w:t>KM FE SL 2021-2027</w:t>
      </w:r>
    </w:p>
    <w:p w14:paraId="1157A640" w14:textId="505B2C43" w:rsidR="00254207" w:rsidRPr="00645DD2" w:rsidRDefault="004512A3" w:rsidP="00793CC9">
      <w:pPr>
        <w:pStyle w:val="NormalnyWeb"/>
        <w:spacing w:line="276" w:lineRule="auto"/>
        <w:ind w:left="4248"/>
        <w:jc w:val="center"/>
        <w:rPr>
          <w:rFonts w:asciiTheme="minorHAnsi" w:eastAsiaTheme="minorEastAsia" w:hAnsiTheme="minorHAnsi" w:cstheme="minorBidi"/>
          <w:b/>
          <w:bCs/>
        </w:rPr>
        <w:sectPr w:rsidR="00254207" w:rsidRPr="00645DD2" w:rsidSect="00AB5D95">
          <w:headerReference w:type="default" r:id="rId12"/>
          <w:footerReference w:type="default" r:id="rId13"/>
          <w:pgSz w:w="11906" w:h="16838"/>
          <w:pgMar w:top="1417" w:right="1417" w:bottom="1417" w:left="1417" w:header="708" w:footer="708" w:gutter="0"/>
          <w:cols w:space="708"/>
          <w:titlePg/>
          <w:docGrid w:linePitch="360"/>
        </w:sectPr>
      </w:pPr>
      <w:r w:rsidRPr="00645DD2">
        <w:rPr>
          <w:rFonts w:asciiTheme="minorHAnsi" w:eastAsiaTheme="minorEastAsia" w:hAnsiTheme="minorHAnsi" w:cstheme="minorBidi"/>
          <w:b/>
          <w:bCs/>
          <w:lang w:eastAsia="en-US"/>
        </w:rPr>
        <w:t>Anna Jedynak - Rykała</w:t>
      </w:r>
    </w:p>
    <w:p w14:paraId="0A834AB7" w14:textId="77777777" w:rsidR="00AD097C" w:rsidRPr="00AD097C" w:rsidRDefault="00AD097C" w:rsidP="00AD097C">
      <w:pPr>
        <w:keepNext/>
        <w:keepLines/>
        <w:spacing w:before="240" w:after="240"/>
        <w:outlineLvl w:val="0"/>
        <w:rPr>
          <w:rFonts w:asciiTheme="minorHAnsi" w:eastAsiaTheme="majorEastAsia" w:hAnsiTheme="minorHAnsi" w:cstheme="majorBidi"/>
          <w:b/>
          <w:sz w:val="28"/>
          <w:szCs w:val="28"/>
        </w:rPr>
      </w:pPr>
      <w:r w:rsidRPr="00AD097C">
        <w:rPr>
          <w:rFonts w:asciiTheme="minorHAnsi" w:eastAsiaTheme="majorEastAsia" w:hAnsiTheme="minorHAnsi" w:cstheme="majorBidi"/>
          <w:b/>
          <w:sz w:val="28"/>
          <w:szCs w:val="28"/>
        </w:rPr>
        <w:lastRenderedPageBreak/>
        <w:t>Kryteria wyboru projektów FE SL 2021-2027</w:t>
      </w:r>
    </w:p>
    <w:p w14:paraId="69D6015B" w14:textId="30016270" w:rsidR="00AD097C" w:rsidRPr="00AD097C" w:rsidRDefault="009C65B5" w:rsidP="00AD097C">
      <w:pPr>
        <w:keepNext/>
        <w:keepLines/>
        <w:spacing w:before="240" w:after="240"/>
        <w:outlineLvl w:val="0"/>
        <w:rPr>
          <w:rFonts w:asciiTheme="minorHAnsi" w:eastAsiaTheme="majorEastAsia" w:hAnsiTheme="minorHAnsi" w:cstheme="minorHAnsi"/>
          <w:b/>
          <w:sz w:val="24"/>
          <w:szCs w:val="24"/>
        </w:rPr>
      </w:pPr>
      <w:r>
        <w:rPr>
          <w:rFonts w:asciiTheme="minorHAnsi" w:eastAsia="Arial" w:hAnsiTheme="minorHAnsi" w:cstheme="minorHAnsi"/>
          <w:b/>
          <w:bCs/>
          <w:sz w:val="24"/>
          <w:szCs w:val="24"/>
        </w:rPr>
        <w:t>Działanie 10.12</w:t>
      </w:r>
      <w:r w:rsidR="00AD097C" w:rsidRPr="00AD097C">
        <w:rPr>
          <w:rFonts w:asciiTheme="minorHAnsi" w:eastAsia="Arial" w:hAnsiTheme="minorHAnsi" w:cstheme="minorHAnsi"/>
          <w:b/>
          <w:bCs/>
          <w:sz w:val="24"/>
          <w:szCs w:val="24"/>
        </w:rPr>
        <w:t xml:space="preserve">. </w:t>
      </w:r>
      <w:r w:rsidRPr="009C65B5">
        <w:rPr>
          <w:rFonts w:asciiTheme="minorHAnsi" w:eastAsiaTheme="minorEastAsia" w:hAnsiTheme="minorHAnsi" w:cstheme="minorBidi"/>
          <w:b/>
          <w:bCs/>
          <w:iCs/>
          <w:sz w:val="24"/>
          <w:szCs w:val="24"/>
        </w:rPr>
        <w:t>Poprawa mobilności</w:t>
      </w:r>
      <w:r w:rsidRPr="009C65B5">
        <w:rPr>
          <w:rFonts w:asciiTheme="minorHAnsi" w:eastAsiaTheme="minorEastAsia" w:hAnsiTheme="minorHAnsi" w:cstheme="minorBidi"/>
          <w:b/>
          <w:sz w:val="24"/>
          <w:szCs w:val="24"/>
        </w:rPr>
        <w:t xml:space="preserve"> </w:t>
      </w:r>
      <w:r w:rsidRPr="009C65B5">
        <w:rPr>
          <w:rFonts w:asciiTheme="minorHAnsi" w:eastAsiaTheme="minorEastAsia" w:hAnsiTheme="minorHAnsi" w:cstheme="minorBidi"/>
          <w:b/>
          <w:bCs/>
          <w:iCs/>
          <w:sz w:val="24"/>
          <w:szCs w:val="24"/>
        </w:rPr>
        <w:t xml:space="preserve">mieszkańców regionu i spójności transportowej podregionów górniczych </w:t>
      </w:r>
      <w:r w:rsidRPr="009C65B5">
        <w:rPr>
          <w:rFonts w:asciiTheme="minorHAnsi" w:eastAsiaTheme="minorEastAsia" w:hAnsiTheme="minorHAnsi" w:cstheme="minorBidi"/>
          <w:b/>
          <w:sz w:val="24"/>
          <w:szCs w:val="24"/>
        </w:rPr>
        <w:t>(tryb niekonkurencyjny)</w:t>
      </w:r>
    </w:p>
    <w:p w14:paraId="51FEE6B6" w14:textId="77777777" w:rsidR="00AD097C" w:rsidRPr="00AD097C" w:rsidRDefault="00AD097C" w:rsidP="00AD097C">
      <w:pPr>
        <w:keepNext/>
        <w:keepLines/>
        <w:spacing w:before="240" w:after="240"/>
        <w:outlineLvl w:val="0"/>
        <w:rPr>
          <w:rFonts w:asciiTheme="minorHAnsi" w:eastAsiaTheme="majorEastAsia" w:hAnsiTheme="minorHAnsi" w:cstheme="majorBidi"/>
          <w:b/>
          <w:sz w:val="24"/>
          <w:szCs w:val="32"/>
        </w:rPr>
      </w:pPr>
      <w:r w:rsidRPr="00AD097C">
        <w:rPr>
          <w:rFonts w:asciiTheme="minorHAnsi" w:eastAsiaTheme="majorEastAsia" w:hAnsiTheme="minorHAnsi" w:cstheme="majorBidi"/>
          <w:b/>
          <w:sz w:val="24"/>
          <w:szCs w:val="32"/>
        </w:rPr>
        <w:t xml:space="preserve">Tabela </w:t>
      </w:r>
      <w:r w:rsidRPr="00AD097C">
        <w:rPr>
          <w:rFonts w:asciiTheme="minorHAnsi" w:eastAsiaTheme="majorEastAsia" w:hAnsiTheme="minorHAnsi" w:cstheme="majorBidi"/>
          <w:b/>
          <w:sz w:val="24"/>
          <w:szCs w:val="32"/>
        </w:rPr>
        <w:fldChar w:fldCharType="begin"/>
      </w:r>
      <w:r w:rsidRPr="00AD097C">
        <w:rPr>
          <w:rFonts w:asciiTheme="minorHAnsi" w:eastAsiaTheme="majorEastAsia" w:hAnsiTheme="minorHAnsi" w:cstheme="majorBidi"/>
          <w:b/>
          <w:sz w:val="24"/>
          <w:szCs w:val="32"/>
        </w:rPr>
        <w:instrText>SEQ Tabela \* ARABIC</w:instrText>
      </w:r>
      <w:r w:rsidRPr="00AD097C">
        <w:rPr>
          <w:rFonts w:asciiTheme="minorHAnsi" w:eastAsiaTheme="majorEastAsia" w:hAnsiTheme="minorHAnsi" w:cstheme="majorBidi"/>
          <w:b/>
          <w:sz w:val="24"/>
          <w:szCs w:val="32"/>
        </w:rPr>
        <w:fldChar w:fldCharType="separate"/>
      </w:r>
      <w:r w:rsidRPr="00AD097C">
        <w:rPr>
          <w:rFonts w:asciiTheme="minorHAnsi" w:eastAsiaTheme="majorEastAsia" w:hAnsiTheme="minorHAnsi" w:cstheme="majorBidi"/>
          <w:b/>
          <w:sz w:val="24"/>
          <w:szCs w:val="32"/>
        </w:rPr>
        <w:t>1</w:t>
      </w:r>
      <w:r w:rsidRPr="00AD097C">
        <w:rPr>
          <w:rFonts w:asciiTheme="minorHAnsi" w:eastAsiaTheme="majorEastAsia" w:hAnsiTheme="minorHAnsi" w:cstheme="majorBidi"/>
          <w:b/>
          <w:sz w:val="24"/>
          <w:szCs w:val="32"/>
        </w:rPr>
        <w:fldChar w:fldCharType="end"/>
      </w:r>
      <w:r w:rsidRPr="00AD097C">
        <w:rPr>
          <w:rFonts w:asciiTheme="minorHAnsi" w:eastAsiaTheme="majorEastAsia" w:hAnsiTheme="minorHAnsi" w:cstheme="majorBidi"/>
          <w:b/>
          <w:sz w:val="24"/>
          <w:szCs w:val="32"/>
        </w:rPr>
        <w:t>. Kryteria formalne ogólne</w:t>
      </w:r>
    </w:p>
    <w:tbl>
      <w:tblPr>
        <w:tblStyle w:val="Tabela-Siatka2"/>
        <w:tblW w:w="14661" w:type="dxa"/>
        <w:tblLayout w:type="fixed"/>
        <w:tblLook w:val="04A0" w:firstRow="1" w:lastRow="0" w:firstColumn="1" w:lastColumn="0" w:noHBand="0" w:noVBand="1"/>
        <w:tblCaption w:val="Kryteria formalne ogólne"/>
        <w:tblDescription w:val="Tabela 1. Zestawienie kryteriów formalnych ogólnych dla Działania FE SL 03.01-ZIT."/>
      </w:tblPr>
      <w:tblGrid>
        <w:gridCol w:w="704"/>
        <w:gridCol w:w="2359"/>
        <w:gridCol w:w="5685"/>
        <w:gridCol w:w="2020"/>
        <w:gridCol w:w="1985"/>
        <w:gridCol w:w="1908"/>
      </w:tblGrid>
      <w:tr w:rsidR="00AD097C" w:rsidRPr="00AD097C" w14:paraId="7EED3A9D" w14:textId="77777777" w:rsidTr="50CFD00C">
        <w:trPr>
          <w:trHeight w:val="1638"/>
          <w:tblHeader/>
        </w:trPr>
        <w:tc>
          <w:tcPr>
            <w:tcW w:w="704" w:type="dxa"/>
            <w:shd w:val="clear" w:color="auto" w:fill="A6A6A6" w:themeFill="background1" w:themeFillShade="A6"/>
            <w:hideMark/>
          </w:tcPr>
          <w:p w14:paraId="11AB2BE2" w14:textId="77777777" w:rsidR="00AD097C" w:rsidRPr="00AD097C" w:rsidRDefault="00AD097C" w:rsidP="00AD097C">
            <w:pPr>
              <w:ind w:left="22"/>
              <w:contextualSpacing/>
              <w:rPr>
                <w:rFonts w:ascii="Calibri" w:eastAsia="Calibri" w:hAnsi="Calibri" w:cstheme="minorHAnsi"/>
                <w:b/>
                <w:sz w:val="24"/>
                <w:szCs w:val="24"/>
              </w:rPr>
            </w:pPr>
            <w:bookmarkStart w:id="4" w:name="_Hlk136338784"/>
            <w:bookmarkStart w:id="5" w:name="_Hlk132111399"/>
            <w:r w:rsidRPr="00AD097C">
              <w:rPr>
                <w:rFonts w:ascii="Calibri" w:eastAsia="Calibri" w:hAnsi="Calibri" w:cstheme="minorHAnsi"/>
                <w:b/>
                <w:sz w:val="24"/>
                <w:szCs w:val="24"/>
              </w:rPr>
              <w:t>L.p.</w:t>
            </w:r>
          </w:p>
        </w:tc>
        <w:tc>
          <w:tcPr>
            <w:tcW w:w="2359" w:type="dxa"/>
            <w:shd w:val="clear" w:color="auto" w:fill="A6A6A6" w:themeFill="background1" w:themeFillShade="A6"/>
            <w:hideMark/>
          </w:tcPr>
          <w:p w14:paraId="6EBF3E83"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Nazwa kryterium</w:t>
            </w:r>
          </w:p>
        </w:tc>
        <w:tc>
          <w:tcPr>
            <w:tcW w:w="5685" w:type="dxa"/>
            <w:shd w:val="clear" w:color="auto" w:fill="A6A6A6" w:themeFill="background1" w:themeFillShade="A6"/>
            <w:hideMark/>
          </w:tcPr>
          <w:p w14:paraId="39CE1762"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Definicja kryterium</w:t>
            </w:r>
          </w:p>
        </w:tc>
        <w:tc>
          <w:tcPr>
            <w:tcW w:w="2020" w:type="dxa"/>
            <w:shd w:val="clear" w:color="auto" w:fill="A6A6A6" w:themeFill="background1" w:themeFillShade="A6"/>
            <w:hideMark/>
          </w:tcPr>
          <w:p w14:paraId="3263E4BE"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985" w:type="dxa"/>
            <w:shd w:val="clear" w:color="auto" w:fill="A6A6A6" w:themeFill="background1" w:themeFillShade="A6"/>
            <w:hideMark/>
          </w:tcPr>
          <w:p w14:paraId="3D4B1435"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Sposób oceny kryterium</w:t>
            </w:r>
          </w:p>
        </w:tc>
        <w:tc>
          <w:tcPr>
            <w:tcW w:w="1908" w:type="dxa"/>
            <w:shd w:val="clear" w:color="auto" w:fill="A6A6A6" w:themeFill="background1" w:themeFillShade="A6"/>
            <w:hideMark/>
          </w:tcPr>
          <w:p w14:paraId="0452FE2A"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Szczególne znaczenie kryterium</w:t>
            </w:r>
          </w:p>
        </w:tc>
      </w:tr>
      <w:bookmarkEnd w:id="4"/>
      <w:tr w:rsidR="00AD097C" w:rsidRPr="00AD097C" w14:paraId="0DBC4A63" w14:textId="77777777" w:rsidTr="50CFD00C">
        <w:trPr>
          <w:trHeight w:val="300"/>
        </w:trPr>
        <w:tc>
          <w:tcPr>
            <w:tcW w:w="704" w:type="dxa"/>
            <w:hideMark/>
          </w:tcPr>
          <w:p w14:paraId="6DEEA36D" w14:textId="6F26E070" w:rsidR="00AD097C" w:rsidRPr="00AD097C" w:rsidRDefault="00661B13"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r>
              <w:rPr>
                <w:rFonts w:ascii="Calibri" w:eastAsia="Times New Roman" w:hAnsi="Calibri" w:cstheme="minorHAnsi"/>
                <w:sz w:val="24"/>
                <w:szCs w:val="24"/>
                <w:lang w:eastAsia="pl-PL"/>
              </w:rPr>
              <w:t>1</w:t>
            </w:r>
          </w:p>
        </w:tc>
        <w:tc>
          <w:tcPr>
            <w:tcW w:w="2359" w:type="dxa"/>
            <w:hideMark/>
          </w:tcPr>
          <w:p w14:paraId="770079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Terminowość złożenia uzupełnienia wniosku</w:t>
            </w:r>
          </w:p>
        </w:tc>
        <w:tc>
          <w:tcPr>
            <w:tcW w:w="5685" w:type="dxa"/>
            <w:hideMark/>
          </w:tcPr>
          <w:p w14:paraId="683B07D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uzupełnienie wniosku złożono w terminie wskazanym w wezwaniu.</w:t>
            </w:r>
          </w:p>
        </w:tc>
        <w:tc>
          <w:tcPr>
            <w:tcW w:w="2020" w:type="dxa"/>
            <w:hideMark/>
          </w:tcPr>
          <w:p w14:paraId="3BA8C73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54EEF8A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podlega uzupełnieniu</w:t>
            </w:r>
          </w:p>
        </w:tc>
        <w:tc>
          <w:tcPr>
            <w:tcW w:w="1985" w:type="dxa"/>
            <w:hideMark/>
          </w:tcPr>
          <w:p w14:paraId="6EC5BB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AC0EB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Dotyczy etapu uzupełnienia dokumentacji</w:t>
            </w:r>
          </w:p>
        </w:tc>
      </w:tr>
      <w:tr w:rsidR="00AD097C" w:rsidRPr="00AD097C" w14:paraId="71B02D53" w14:textId="77777777" w:rsidTr="50CFD00C">
        <w:trPr>
          <w:trHeight w:val="300"/>
        </w:trPr>
        <w:tc>
          <w:tcPr>
            <w:tcW w:w="704" w:type="dxa"/>
            <w:hideMark/>
          </w:tcPr>
          <w:p w14:paraId="0B7E6048" w14:textId="77777777" w:rsidR="00AD097C" w:rsidRPr="00AD097C" w:rsidRDefault="00AD097C"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p>
        </w:tc>
        <w:tc>
          <w:tcPr>
            <w:tcW w:w="2359" w:type="dxa"/>
            <w:hideMark/>
          </w:tcPr>
          <w:p w14:paraId="0A4052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formalna wniosku o dofinansowanie i załączników</w:t>
            </w:r>
          </w:p>
        </w:tc>
        <w:tc>
          <w:tcPr>
            <w:tcW w:w="5685" w:type="dxa"/>
            <w:hideMark/>
          </w:tcPr>
          <w:p w14:paraId="60BCB3E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424DEE98"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42C722F9"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wniosek nie zawiera błędów rachunkowych /omyłek pisarskich? </w:t>
            </w:r>
          </w:p>
          <w:p w14:paraId="6C95778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wniosek zawiera wszystkie informacje na temat projektu niezbędne do oceny kryteriów, w tym wymagane analizy wskazane w instrukcji wypełniania wniosku? Czy informacje są spójne?</w:t>
            </w:r>
          </w:p>
          <w:p w14:paraId="3D187F44"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załączniki wymagane regulaminem wyboru projektów zostały dołączone?</w:t>
            </w:r>
          </w:p>
          <w:p w14:paraId="6FD73721"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możliwe do odczytania/otwarcia?</w:t>
            </w:r>
          </w:p>
          <w:p w14:paraId="2E6AEE9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wypełnione poprawnie, czytelnie?</w:t>
            </w:r>
          </w:p>
        </w:tc>
        <w:tc>
          <w:tcPr>
            <w:tcW w:w="2020" w:type="dxa"/>
            <w:hideMark/>
          </w:tcPr>
          <w:p w14:paraId="5750E0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4B4910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E2BED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63747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3A63A39F" w14:textId="77777777" w:rsidTr="50CFD00C">
        <w:trPr>
          <w:trHeight w:val="300"/>
        </w:trPr>
        <w:tc>
          <w:tcPr>
            <w:tcW w:w="704" w:type="dxa"/>
            <w:hideMark/>
          </w:tcPr>
          <w:p w14:paraId="0EC7CAC8"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1BB176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podmiotowa</w:t>
            </w:r>
          </w:p>
        </w:tc>
        <w:tc>
          <w:tcPr>
            <w:tcW w:w="5685" w:type="dxa"/>
            <w:hideMark/>
          </w:tcPr>
          <w:p w14:paraId="217E6F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0A9B0A0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wpisuje się w katalog beneficjentów przewidzianych w regulaminie wyboru projektów?</w:t>
            </w:r>
          </w:p>
          <w:p w14:paraId="78DBEB6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wszyscy partnerzy (jeśli występują) wpisują się w katalog beneficjentów przewidzianych w regulaminie wyboru projektów (nie dotyczy ppp)?</w:t>
            </w:r>
          </w:p>
          <w:p w14:paraId="27E2D83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oraz partnerzy nie zostali wykluczeni z możliwości aplikowania na podstawie odrębnych przepisów prawa (np. firmy współpracujące z Rosją)?</w:t>
            </w:r>
          </w:p>
          <w:p w14:paraId="448D6AF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wnioskodawca posiada osobowość prawną bądź zdolność do podejmowania czynności prawnych?</w:t>
            </w:r>
          </w:p>
        </w:tc>
        <w:tc>
          <w:tcPr>
            <w:tcW w:w="2020" w:type="dxa"/>
            <w:hideMark/>
          </w:tcPr>
          <w:p w14:paraId="004CFC9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483008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0B8F6F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2E65B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DFCAFC7" w14:textId="77777777" w:rsidTr="50CFD00C">
        <w:trPr>
          <w:trHeight w:val="300"/>
        </w:trPr>
        <w:tc>
          <w:tcPr>
            <w:tcW w:w="704" w:type="dxa"/>
            <w:hideMark/>
          </w:tcPr>
          <w:p w14:paraId="1B88D2C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B0A986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przedmiotowa projektu</w:t>
            </w:r>
          </w:p>
        </w:tc>
        <w:tc>
          <w:tcPr>
            <w:tcW w:w="5685" w:type="dxa"/>
            <w:hideMark/>
          </w:tcPr>
          <w:p w14:paraId="108549D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646D726C"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wpisuje się w typ/typy projektu/ działanie podlegające dofinansowaniu w ramach naboru (określone w regulaminie wyboru projektów)?</w:t>
            </w:r>
          </w:p>
          <w:p w14:paraId="55CB8C79"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liście przedsięwzięć priorytetowych w Kontrakcie Programowym dla </w:t>
            </w:r>
            <w:r w:rsidRPr="00AD097C">
              <w:rPr>
                <w:rFonts w:ascii="Calibri" w:eastAsia="Times New Roman" w:hAnsi="Calibri" w:cstheme="minorHAnsi"/>
                <w:sz w:val="24"/>
                <w:szCs w:val="24"/>
                <w:lang w:eastAsia="pl-PL"/>
              </w:rPr>
              <w:lastRenderedPageBreak/>
              <w:t>Województwa Śląskiego (dot. projektów w trybie niekonkurencyjnym)?</w:t>
            </w:r>
          </w:p>
          <w:p w14:paraId="7CD8E5BB"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27F226BA"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nie został zakończony/lub w pełni wdrożony przed złożeniem wniosku o dofinansowanie?</w:t>
            </w:r>
          </w:p>
          <w:p w14:paraId="0FC487B6"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warunkami/wymogami konkursu zawartymi w regulaminie wyboru projektów?</w:t>
            </w:r>
          </w:p>
          <w:p w14:paraId="0197184E"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założenia projektu są zgodne z celem działania oraz limitami i ograniczeniami wskazanymi w programie FE SL 2021-2027, regulaminie wyboru </w:t>
            </w:r>
            <w:r w:rsidRPr="00AD097C">
              <w:rPr>
                <w:rFonts w:ascii="Calibri" w:eastAsia="Times New Roman" w:hAnsi="Calibri" w:cstheme="minorHAnsi"/>
                <w:sz w:val="24"/>
                <w:szCs w:val="24"/>
                <w:lang w:eastAsia="pl-PL"/>
              </w:rPr>
              <w:lastRenderedPageBreak/>
              <w:t>projektów oraz w opisie działania w SZOP (właściwy na dzień ogłoszenia naboru) albo w ramach kwalifikowalności kosztów?</w:t>
            </w:r>
          </w:p>
          <w:p w14:paraId="1C8C0AE1" w14:textId="77777777" w:rsidR="00AD097C" w:rsidRPr="00AD097C" w:rsidRDefault="00AD097C" w:rsidP="00AD097C">
            <w:pPr>
              <w:numPr>
                <w:ilvl w:val="0"/>
                <w:numId w:val="5"/>
              </w:numPr>
              <w:tabs>
                <w:tab w:val="clear" w:pos="720"/>
              </w:tabs>
              <w:spacing w:before="100" w:beforeAutospacing="1" w:after="100" w:afterAutospacing="1"/>
              <w:ind w:left="365" w:hanging="31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jest zgodny z Lokalną Strategią Rozwoju - jeśli dotyczy?</w:t>
            </w:r>
          </w:p>
        </w:tc>
        <w:tc>
          <w:tcPr>
            <w:tcW w:w="2020" w:type="dxa"/>
            <w:hideMark/>
          </w:tcPr>
          <w:p w14:paraId="438A297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66583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F6EB50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3804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A3C326E" w14:textId="77777777" w:rsidTr="50CFD00C">
        <w:trPr>
          <w:trHeight w:val="300"/>
        </w:trPr>
        <w:tc>
          <w:tcPr>
            <w:tcW w:w="704" w:type="dxa"/>
            <w:hideMark/>
          </w:tcPr>
          <w:p w14:paraId="11F067E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ECE86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Zgodność projektu z zasadami pomocy publicznej lub pomocy de minimis</w:t>
            </w:r>
          </w:p>
        </w:tc>
        <w:tc>
          <w:tcPr>
            <w:tcW w:w="5685" w:type="dxa"/>
            <w:hideMark/>
          </w:tcPr>
          <w:p w14:paraId="64141C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projektu weryfikowane będzie:</w:t>
            </w:r>
          </w:p>
          <w:p w14:paraId="72A7DF7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dokonał w sposób właściwy analizy projektu pod kątem przesłanek wynikających z art. 107 ust. 1 TFUE?</w:t>
            </w:r>
          </w:p>
          <w:p w14:paraId="2D34806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projekt spełnia wszelkie warunki, wynikające z właściwych aktów normatywnych, regulujących udzielanie danej kategorii pomocy, w tym:</w:t>
            </w:r>
          </w:p>
          <w:p w14:paraId="522E63F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wybrał prawidłową podstawę prawną udzielenia pomocy oraz prawidłowo przyporządkował wydatki do wybranej podstawy?</w:t>
            </w:r>
          </w:p>
          <w:p w14:paraId="58BD697F" w14:textId="43F27261"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imes New Roman"/>
                <w:sz w:val="24"/>
                <w:szCs w:val="24"/>
                <w:lang w:eastAsia="pl-PL"/>
              </w:rPr>
            </w:pPr>
            <w:r w:rsidRPr="00AD097C">
              <w:rPr>
                <w:rFonts w:ascii="Calibri" w:eastAsia="Times New Roman" w:hAnsi="Calibri" w:cs="Times New Roman"/>
                <w:color w:val="000000" w:themeColor="text1"/>
                <w:sz w:val="24"/>
                <w:szCs w:val="24"/>
                <w:lang w:eastAsia="pl-PL"/>
              </w:rPr>
              <w:t xml:space="preserve">Czy Wnioskodawca nie rozpoczął prac przed złożeniem wniosku? „Rozpoczęcie prac” oznacza </w:t>
            </w:r>
            <w:r w:rsidRPr="00AD097C">
              <w:rPr>
                <w:rFonts w:ascii="Calibri" w:eastAsia="Times New Roman" w:hAnsi="Calibri" w:cs="Times New Roman"/>
                <w:color w:val="000000" w:themeColor="text1"/>
                <w:sz w:val="24"/>
                <w:szCs w:val="24"/>
                <w:lang w:eastAsia="pl-PL"/>
              </w:rPr>
              <w:lastRenderedPageBreak/>
              <w:t>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75850F8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wszystkie koszty kwalifikowalne wpisują się w daną podstawę prawną (w tym odpowiedni scenariusz)?</w:t>
            </w:r>
          </w:p>
          <w:p w14:paraId="0CB127C1"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AD097C">
              <w:rPr>
                <w:rFonts w:ascii="Calibri" w:eastAsia="Times New Roman" w:hAnsi="Calibri" w:cstheme="minorHAnsi"/>
                <w:sz w:val="24"/>
                <w:szCs w:val="24"/>
                <w:lang w:eastAsia="pl-PL"/>
              </w:rPr>
              <w:t>wyliczeniami/?</w:t>
            </w:r>
          </w:p>
          <w:p w14:paraId="034EC0B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wkład własny wolny jest od innego wsparcia publicznego (jeśli dotyczy)?</w:t>
            </w:r>
          </w:p>
          <w:p w14:paraId="7F436598"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lastRenderedPageBreak/>
              <w:t>Czy montaż finansowy spełnia zasady kumulacji pomocy?</w:t>
            </w:r>
          </w:p>
          <w:p w14:paraId="579D7EDE"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wykazał spełnienie innych (jeśli występują) warunków wynikających z danej podstawy prawnej?</w:t>
            </w:r>
          </w:p>
          <w:p w14:paraId="5018E4C9"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660DE090"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dołączył Zaświadczenie/ oświadczenie dotyczące pomocy de minimis (jeśli dotyczy)?</w:t>
            </w:r>
          </w:p>
          <w:p w14:paraId="3D6CE39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contextualSpacing/>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pomocy udzielonej w oparciu o rozporządzenie 651/2014: przedsiębiorca nie znajduje się w trudnej sytuacji?</w:t>
            </w:r>
          </w:p>
        </w:tc>
        <w:tc>
          <w:tcPr>
            <w:tcW w:w="2020" w:type="dxa"/>
            <w:hideMark/>
          </w:tcPr>
          <w:p w14:paraId="15639A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938813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7C254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AE91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86222A2" w14:textId="77777777" w:rsidTr="50CFD00C">
        <w:trPr>
          <w:trHeight w:val="300"/>
        </w:trPr>
        <w:tc>
          <w:tcPr>
            <w:tcW w:w="704" w:type="dxa"/>
            <w:hideMark/>
          </w:tcPr>
          <w:p w14:paraId="426766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3C799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Poprawność określenia działań informacyjno - </w:t>
            </w:r>
            <w:r w:rsidRPr="00AD097C">
              <w:rPr>
                <w:rFonts w:ascii="Calibri" w:eastAsia="Times New Roman" w:hAnsi="Calibri" w:cstheme="minorHAnsi"/>
                <w:sz w:val="24"/>
                <w:szCs w:val="24"/>
                <w:lang w:eastAsia="pl-PL"/>
              </w:rPr>
              <w:lastRenderedPageBreak/>
              <w:t>promocyjnych w projekcie</w:t>
            </w:r>
          </w:p>
        </w:tc>
        <w:tc>
          <w:tcPr>
            <w:tcW w:w="5685" w:type="dxa"/>
            <w:hideMark/>
          </w:tcPr>
          <w:p w14:paraId="6B53C739" w14:textId="77777777" w:rsidR="00AD097C" w:rsidRPr="00AD097C" w:rsidRDefault="00AD097C" w:rsidP="00AD097C">
            <w:pPr>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lastRenderedPageBreak/>
              <w:t>W ramach kryterium weryfikowane będzie:</w:t>
            </w:r>
          </w:p>
          <w:p w14:paraId="080EBD43" w14:textId="77777777" w:rsidR="00AD097C" w:rsidRPr="00AD097C" w:rsidRDefault="00AD097C" w:rsidP="00AD097C">
            <w:pPr>
              <w:numPr>
                <w:ilvl w:val="0"/>
                <w:numId w:val="2"/>
              </w:numPr>
              <w:ind w:left="363" w:hanging="284"/>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 xml:space="preserve">Czy działania informacyjno- promocyjne są zgodne z zaleceniami/zasadami w tym zakresie, w </w:t>
            </w:r>
            <w:r w:rsidRPr="00AD097C">
              <w:rPr>
                <w:rFonts w:ascii="Calibri" w:eastAsia="Arial" w:hAnsi="Calibri" w:cstheme="minorHAnsi"/>
                <w:color w:val="000000" w:themeColor="text1"/>
                <w:sz w:val="24"/>
                <w:szCs w:val="24"/>
              </w:rPr>
              <w:lastRenderedPageBreak/>
              <w:t>szczególności z zasadami wskazanymi w art. 50 rozporządzenia 2021/1060?</w:t>
            </w:r>
          </w:p>
          <w:p w14:paraId="387F6804" w14:textId="6125D4BE" w:rsidR="00AD097C" w:rsidRPr="00AD097C" w:rsidRDefault="00AD097C" w:rsidP="00AD097C">
            <w:pPr>
              <w:ind w:left="365"/>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Czy beneficjent we wniosku wskazał:</w:t>
            </w:r>
          </w:p>
          <w:p w14:paraId="0AC62F8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nietechniczny tytuł projektu,</w:t>
            </w:r>
          </w:p>
          <w:p w14:paraId="701A323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streszczenie działań promocyjnych projektu,</w:t>
            </w:r>
          </w:p>
          <w:p w14:paraId="380588ED" w14:textId="471AD372"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adres strony internetowej/profilu mediów społecznościowych, na których projekt będzie promowany?</w:t>
            </w:r>
          </w:p>
        </w:tc>
        <w:tc>
          <w:tcPr>
            <w:tcW w:w="2020" w:type="dxa"/>
            <w:hideMark/>
          </w:tcPr>
          <w:p w14:paraId="4762CC3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441CE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Kryterium podlega uzupełnieniu</w:t>
            </w:r>
          </w:p>
        </w:tc>
        <w:tc>
          <w:tcPr>
            <w:tcW w:w="1985" w:type="dxa"/>
            <w:hideMark/>
          </w:tcPr>
          <w:p w14:paraId="5BAEE5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5F98EA5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F238C45" w14:textId="77777777" w:rsidTr="50CFD00C">
        <w:trPr>
          <w:trHeight w:val="300"/>
        </w:trPr>
        <w:tc>
          <w:tcPr>
            <w:tcW w:w="704" w:type="dxa"/>
            <w:hideMark/>
          </w:tcPr>
          <w:p w14:paraId="37D7685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DCA69A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zasadą zrównoważonego rozwoju w tym zasadą „nie czyń poważnych szkód (DNSH)</w:t>
            </w:r>
          </w:p>
        </w:tc>
        <w:tc>
          <w:tcPr>
            <w:tcW w:w="5685" w:type="dxa"/>
            <w:hideMark/>
          </w:tcPr>
          <w:p w14:paraId="394437A2"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W ramach kryterium weryfikowane będzie:</w:t>
            </w:r>
          </w:p>
          <w:p w14:paraId="09172762" w14:textId="77777777"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84E92CC"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lastRenderedPageBreak/>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59627ECA" w14:textId="6B2E9EF1"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32A6EDB1"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lastRenderedPageBreak/>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48F95EC4"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w:t>
            </w:r>
            <w:r w:rsidRPr="00AD097C">
              <w:rPr>
                <w:rFonts w:ascii="Calibri" w:eastAsia="Arial" w:hAnsi="Calibri" w:cstheme="minorHAnsi"/>
                <w:sz w:val="24"/>
                <w:szCs w:val="24"/>
              </w:rPr>
              <w:lastRenderedPageBreak/>
              <w:t>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21B5594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52EA4A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6E71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D158F3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2E88128" w14:textId="77777777" w:rsidTr="50CFD00C">
        <w:trPr>
          <w:trHeight w:val="300"/>
        </w:trPr>
        <w:tc>
          <w:tcPr>
            <w:tcW w:w="704" w:type="dxa"/>
            <w:hideMark/>
          </w:tcPr>
          <w:p w14:paraId="61C8E664"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733B74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Odporność infrastruktury na zmiany klimatu</w:t>
            </w:r>
          </w:p>
        </w:tc>
        <w:tc>
          <w:tcPr>
            <w:tcW w:w="5685" w:type="dxa"/>
            <w:hideMark/>
          </w:tcPr>
          <w:p w14:paraId="4AEE5B3B" w14:textId="76947E48"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D097C">
              <w:rPr>
                <w:rFonts w:ascii="Calibri" w:eastAsia="Calibri" w:hAnsi="Calibri" w:cstheme="minorHAnsi"/>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w:t>
            </w:r>
            <w:r w:rsidRPr="00AD097C">
              <w:rPr>
                <w:rFonts w:ascii="Calibri" w:eastAsia="Calibri" w:hAnsi="Calibri" w:cstheme="minorHAnsi"/>
                <w:color w:val="000000" w:themeColor="text1"/>
                <w:sz w:val="24"/>
                <w:szCs w:val="24"/>
              </w:rPr>
              <w:lastRenderedPageBreak/>
              <w:t>działania na rzecz łagodzenia zmian klimatu oraz przystosowania do tych zmian</w:t>
            </w:r>
            <w:r w:rsidRPr="00AD097C">
              <w:rPr>
                <w:rFonts w:ascii="Calibri" w:eastAsia="Times New Roman" w:hAnsi="Calibr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352EB3F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5BBBA44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89B5B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B1C4BB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791795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5F649B8" w14:textId="77777777" w:rsidTr="50CFD00C">
        <w:trPr>
          <w:trHeight w:val="300"/>
        </w:trPr>
        <w:tc>
          <w:tcPr>
            <w:tcW w:w="704" w:type="dxa"/>
            <w:hideMark/>
          </w:tcPr>
          <w:p w14:paraId="2CAF95C1"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710C5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„zanieczyszczający płaci"</w:t>
            </w:r>
          </w:p>
        </w:tc>
        <w:tc>
          <w:tcPr>
            <w:tcW w:w="5685" w:type="dxa"/>
            <w:hideMark/>
          </w:tcPr>
          <w:p w14:paraId="097FA09C"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w:t>
            </w:r>
            <w:r w:rsidRPr="00AD097C">
              <w:rPr>
                <w:rFonts w:ascii="Calibri" w:eastAsia="Times New Roman" w:hAnsi="Calibri" w:cstheme="minorHAnsi"/>
                <w:color w:val="000000" w:themeColor="text1"/>
                <w:sz w:val="24"/>
                <w:szCs w:val="24"/>
                <w:lang w:eastAsia="pl-PL"/>
              </w:rPr>
              <w:lastRenderedPageBreak/>
              <w:t>zanieczyszczeniu i szkodzie oraz ich kontroli, a także koszty ponoszone w związku z tym przez społeczeństwo. Dotyczy to w szczególności zanieczyszczeń przemysłowych, zanieczyszczeń wody i gleby oraz gospodarowania odpadami.</w:t>
            </w:r>
          </w:p>
          <w:p w14:paraId="00414130"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w:t>
            </w:r>
            <w:r w:rsidRPr="00AD097C">
              <w:rPr>
                <w:rFonts w:ascii="Calibri" w:eastAsia="Times New Roman" w:hAnsi="Calibri" w:cstheme="minorHAnsi"/>
                <w:color w:val="000000"/>
                <w:sz w:val="24"/>
                <w:szCs w:val="24"/>
                <w:lang w:eastAsia="pl-PL"/>
              </w:rPr>
              <w:lastRenderedPageBreak/>
              <w:t>był świadomy konieczności przeprowadzenia działań niwelujących „zanieczyszczenie”, ponieważ:</w:t>
            </w:r>
          </w:p>
          <w:p w14:paraId="626E90F9" w14:textId="77777777" w:rsidR="00AD097C" w:rsidRPr="00AD097C" w:rsidRDefault="00AD097C" w:rsidP="00AD097C">
            <w:pPr>
              <w:numPr>
                <w:ilvl w:val="0"/>
                <w:numId w:val="6"/>
              </w:numPr>
              <w:tabs>
                <w:tab w:val="clear" w:pos="720"/>
                <w:tab w:val="num" w:pos="365"/>
              </w:tabs>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 możliwe ustalenie podmiotu, który spowodował „zanieczyszczenie”,</w:t>
            </w:r>
          </w:p>
          <w:p w14:paraId="46BC85B0"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49618202"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podmiot gospodarczy nie został prawnie zobowiązany do podjęcia takich działań w okresie prowadzenia działalności lub po jej zaprzestaniu.</w:t>
            </w:r>
          </w:p>
          <w:p w14:paraId="3CC5751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b/>
                <w:bCs/>
                <w:color w:val="000000"/>
                <w:sz w:val="24"/>
                <w:szCs w:val="24"/>
                <w:lang w:eastAsia="pl-PL"/>
              </w:rPr>
              <w:t>Sposób weryfikacji [0/1]:</w:t>
            </w:r>
          </w:p>
          <w:p w14:paraId="7E2A08E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Wnioskodawca jest organem administracji publicznej, który jest właścicielem obszaru/terenu objętego projektem lub posiada władztwo tego terenu - 1 (kryterium spełnione).</w:t>
            </w:r>
          </w:p>
          <w:p w14:paraId="2DA4C1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24AA3E11" w14:textId="08D4C00C"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Jeśli podjęte środki prawne nie doprowadziły do osiągniecia zamierzonego efektu uznaje się wówczas, że Wnioskodawca nie jest traktowany jako </w:t>
            </w:r>
            <w:r w:rsidRPr="00AD097C">
              <w:rPr>
                <w:rFonts w:ascii="Calibri" w:eastAsia="Times New Roman" w:hAnsi="Calibri" w:cstheme="minorHAnsi"/>
                <w:color w:val="000000"/>
                <w:sz w:val="24"/>
                <w:szCs w:val="24"/>
                <w:lang w:eastAsia="pl-PL"/>
              </w:rPr>
              <w:lastRenderedPageBreak/>
              <w:t>„zanieczyszczający” oraz, że wsparcie środkami FE SL jest możliwe i uzasadnione.</w:t>
            </w:r>
          </w:p>
          <w:p w14:paraId="321BDF0E" w14:textId="64D85291"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w:t>
            </w:r>
          </w:p>
          <w:p w14:paraId="7248DD7F"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706640ED" w14:textId="59E46615"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w:t>
            </w:r>
            <w:r w:rsidRPr="00AD097C">
              <w:rPr>
                <w:rFonts w:ascii="Calibri" w:eastAsia="Times New Roman" w:hAnsi="Calibri" w:cstheme="minorHAnsi"/>
                <w:color w:val="000000"/>
                <w:sz w:val="24"/>
                <w:szCs w:val="24"/>
                <w:lang w:eastAsia="pl-PL"/>
              </w:rPr>
              <w:lastRenderedPageBreak/>
              <w:t>„zanieczyszczający” oraz, że wsparcie środkami FE SL jest możliwe i uzasadnione.</w:t>
            </w:r>
          </w:p>
          <w:p w14:paraId="1DD5C49A" w14:textId="2A2D1291"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w:t>
            </w:r>
          </w:p>
          <w:p w14:paraId="2CE40F3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lub</w:t>
            </w:r>
          </w:p>
          <w:p w14:paraId="44280D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4FA4E3CE" w14:textId="77777777" w:rsidR="00AD097C" w:rsidRPr="00AD097C" w:rsidRDefault="00AD097C" w:rsidP="00AD097C">
            <w:pPr>
              <w:numPr>
                <w:ilvl w:val="0"/>
                <w:numId w:val="7"/>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decyzji o zakończeniu rekultywacji</w:t>
            </w:r>
          </w:p>
          <w:p w14:paraId="03C43A3E"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19FB1F4A" w14:textId="77777777" w:rsidR="00AD097C" w:rsidRPr="00AD097C" w:rsidRDefault="00AD097C" w:rsidP="00AD097C">
            <w:pPr>
              <w:numPr>
                <w:ilvl w:val="0"/>
                <w:numId w:val="8"/>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zaświadczenia – stanowiącego, że grunty (obszar/teren) nie były objęte koniecznością przeprowadzenia rekultywacji.</w:t>
            </w:r>
          </w:p>
          <w:p w14:paraId="51EC074A"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66E07E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4D6474F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1E7FDF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C0715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6E0B7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EC492E1" w14:textId="77777777" w:rsidTr="50CFD00C">
        <w:trPr>
          <w:trHeight w:val="300"/>
        </w:trPr>
        <w:tc>
          <w:tcPr>
            <w:tcW w:w="704" w:type="dxa"/>
            <w:hideMark/>
          </w:tcPr>
          <w:p w14:paraId="1476F32F"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325C15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kobiet i mężczyzn</w:t>
            </w:r>
          </w:p>
        </w:tc>
        <w:tc>
          <w:tcPr>
            <w:tcW w:w="5685" w:type="dxa"/>
            <w:hideMark/>
          </w:tcPr>
          <w:p w14:paraId="11B7C8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Przez zgodność z zasadą równości kobiet i mężczyzn należy rozumieć pozytywny lub neutralny wpływ projektu na tę zasadę.</w:t>
            </w:r>
          </w:p>
          <w:p w14:paraId="5283F01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2A9DDAF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00AD097C">
              <w:rPr>
                <w:rFonts w:ascii="Calibri" w:eastAsia="Times New Roman" w:hAnsi="Calibri" w:cstheme="minorHAnsi"/>
                <w:sz w:val="24"/>
                <w:szCs w:val="24"/>
                <w:lang w:eastAsia="pl-PL"/>
              </w:rPr>
              <w:lastRenderedPageBreak/>
              <w:t>uznane przez instytucję oceniającą projekt za adekwatne i wystarczające.</w:t>
            </w:r>
          </w:p>
          <w:p w14:paraId="04E5722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wpływu na realizację zasady równości kobiet i mężczyzn kryterium zostanie uznane za niespełnione.</w:t>
            </w:r>
          </w:p>
          <w:p w14:paraId="7158D5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80084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6DD5F7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5A338B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1C35C9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7E3EDB54" w14:textId="77777777" w:rsidTr="50CFD00C">
        <w:trPr>
          <w:trHeight w:val="300"/>
        </w:trPr>
        <w:tc>
          <w:tcPr>
            <w:tcW w:w="704" w:type="dxa"/>
            <w:hideMark/>
          </w:tcPr>
          <w:p w14:paraId="6643A32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BD6A16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03F9BF0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Przez </w:t>
            </w:r>
            <w:r w:rsidRPr="00AD097C">
              <w:rPr>
                <w:rFonts w:ascii="Calibri" w:eastAsia="Arial" w:hAnsi="Calibri" w:cstheme="minorHAnsi"/>
                <w:color w:val="000000" w:themeColor="text1"/>
                <w:sz w:val="24"/>
                <w:szCs w:val="24"/>
              </w:rPr>
              <w:t xml:space="preserve">zgodność projektu z zasadą równości szans i niedyskryminacji, w tym dostępności dla osób z </w:t>
            </w:r>
            <w:r w:rsidRPr="00AD097C">
              <w:rPr>
                <w:rFonts w:ascii="Calibri" w:eastAsia="Arial" w:hAnsi="Calibri" w:cstheme="minorHAnsi"/>
                <w:sz w:val="24"/>
                <w:szCs w:val="24"/>
                <w:lang w:eastAsia="pl-PL"/>
              </w:rPr>
              <w:t>niepełnosprawnościami</w:t>
            </w:r>
            <w:r w:rsidRPr="00AD097C">
              <w:rPr>
                <w:rFonts w:ascii="Calibri" w:eastAsia="Arial" w:hAnsi="Calibri" w:cstheme="minorHAnsi"/>
                <w:color w:val="000000" w:themeColor="text1"/>
                <w:sz w:val="24"/>
                <w:szCs w:val="24"/>
              </w:rPr>
              <w:t xml:space="preserve"> należy rozumieć </w:t>
            </w:r>
            <w:r w:rsidRPr="00AD097C">
              <w:rPr>
                <w:rFonts w:ascii="Calibri" w:eastAsia="Arial" w:hAnsi="Calibri" w:cstheme="minorHAnsi"/>
                <w:sz w:val="24"/>
                <w:szCs w:val="24"/>
              </w:rPr>
              <w:t>pozytywny wpływ projektu na realizację tej zasady, czyli</w:t>
            </w:r>
            <w:r w:rsidRPr="00AD097C">
              <w:rPr>
                <w:rFonts w:ascii="Calibri" w:eastAsia="Arial" w:hAnsi="Calibri" w:cstheme="minorHAnsi"/>
                <w:sz w:val="24"/>
                <w:szCs w:val="24"/>
                <w:lang w:eastAsia="pl-PL"/>
              </w:rPr>
              <w:t xml:space="preserve"> </w:t>
            </w:r>
            <w:r w:rsidRPr="00AD097C">
              <w:rPr>
                <w:rFonts w:ascii="Calibri" w:eastAsia="Times New Roman" w:hAnsi="Calibri"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w:t>
            </w:r>
            <w:r w:rsidRPr="00AD097C">
              <w:rPr>
                <w:rFonts w:ascii="Calibri" w:eastAsia="Times New Roman" w:hAnsi="Calibri" w:cstheme="minorHAnsi"/>
                <w:sz w:val="24"/>
                <w:szCs w:val="24"/>
                <w:lang w:eastAsia="pl-PL"/>
              </w:rPr>
              <w:lastRenderedPageBreak/>
              <w:t>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1F228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AD097C">
              <w:rPr>
                <w:rFonts w:ascii="Calibri" w:eastAsia="Times New Roman" w:hAnsi="Calibri" w:cstheme="minorHAnsi"/>
                <w:sz w:val="24"/>
                <w:szCs w:val="24"/>
                <w:lang w:eastAsia="pl-PL"/>
              </w:rPr>
              <w:lastRenderedPageBreak/>
              <w:t>zasobów modernizowanych</w:t>
            </w:r>
            <w:r w:rsidRPr="00AD097C">
              <w:rPr>
                <w:rFonts w:ascii="Calibri" w:eastAsia="Times New Roman" w:hAnsi="Calibri" w:cstheme="minorHAnsi"/>
                <w:sz w:val="24"/>
                <w:szCs w:val="24"/>
                <w:vertAlign w:val="superscript"/>
                <w:lang w:eastAsia="pl-PL"/>
              </w:rPr>
              <w:footnoteReference w:id="2"/>
            </w:r>
            <w:r w:rsidRPr="00AD097C">
              <w:rPr>
                <w:rFonts w:ascii="Calibri" w:eastAsia="Times New Roman" w:hAnsi="Calibri" w:cstheme="minorHAnsi"/>
                <w:sz w:val="24"/>
                <w:szCs w:val="24"/>
                <w:lang w:eastAsia="pl-PL"/>
              </w:rPr>
              <w:t>(m.in. przebudowa</w:t>
            </w:r>
            <w:r w:rsidRPr="00AD097C">
              <w:rPr>
                <w:rFonts w:ascii="Calibri" w:eastAsia="Times New Roman" w:hAnsi="Calibri" w:cstheme="minorHAnsi"/>
                <w:sz w:val="24"/>
                <w:szCs w:val="24"/>
                <w:vertAlign w:val="superscript"/>
                <w:lang w:eastAsia="pl-PL"/>
              </w:rPr>
              <w:footnoteReference w:id="3"/>
            </w:r>
            <w:r w:rsidRPr="00AD097C">
              <w:rPr>
                <w:rFonts w:ascii="Calibri" w:eastAsia="Times New Roman" w:hAnsi="Calibri" w:cstheme="minorHAnsi"/>
                <w:sz w:val="24"/>
                <w:szCs w:val="24"/>
                <w:vertAlign w:val="superscript"/>
                <w:lang w:eastAsia="pl-PL"/>
              </w:rPr>
              <w:t xml:space="preserve"> </w:t>
            </w:r>
            <w:r w:rsidRPr="00AD097C">
              <w:rPr>
                <w:rFonts w:ascii="Calibri" w:eastAsia="Times New Roman" w:hAnsi="Calibri" w:cstheme="minorHAnsi"/>
                <w:sz w:val="24"/>
                <w:szCs w:val="24"/>
                <w:lang w:eastAsia="pl-PL"/>
              </w:rPr>
              <w:t>, rozbudowa</w:t>
            </w:r>
            <w:r w:rsidRPr="00AD097C">
              <w:rPr>
                <w:rFonts w:ascii="Calibri" w:eastAsia="Times New Roman" w:hAnsi="Calibri" w:cstheme="minorHAnsi"/>
                <w:sz w:val="24"/>
                <w:szCs w:val="24"/>
                <w:vertAlign w:val="superscript"/>
                <w:lang w:eastAsia="pl-PL"/>
              </w:rPr>
              <w:footnoteReference w:id="4"/>
            </w:r>
            <w:r w:rsidRPr="00AD097C">
              <w:rPr>
                <w:rFonts w:ascii="Calibri" w:eastAsia="Times New Roman" w:hAnsi="Calibri" w:cstheme="minorHAnsi"/>
                <w:sz w:val="24"/>
                <w:szCs w:val="24"/>
                <w:lang w:eastAsia="pl-PL"/>
              </w:rPr>
              <w:t>), zastosowanie standardów dostępności jest obowiązkowe, o ile pozwalają na to warunki techniczne i zakres prowadzonej modernizacji.</w:t>
            </w:r>
          </w:p>
          <w:p w14:paraId="0B13D6C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t>
            </w:r>
            <w:r w:rsidRPr="00AD097C">
              <w:rPr>
                <w:rFonts w:ascii="Calibri" w:eastAsia="Times New Roman" w:hAnsi="Calibri" w:cstheme="minorHAnsi"/>
                <w:sz w:val="24"/>
                <w:szCs w:val="24"/>
                <w:lang w:eastAsia="pl-PL"/>
              </w:rPr>
              <w:lastRenderedPageBreak/>
              <w:t>WCAG 2.1, nawet w przypadku braku kwalifikowalności takich wydatków w projekcie.</w:t>
            </w:r>
          </w:p>
          <w:p w14:paraId="1324129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9E9494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35ADD5C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Kryterium zostanie zweryfikowane na podstawie zapisów we wniosku o dofinansowanie projektu, </w:t>
            </w:r>
            <w:r w:rsidRPr="00AD097C">
              <w:rPr>
                <w:rFonts w:ascii="Calibri" w:eastAsia="Times New Roman" w:hAnsi="Calibri" w:cstheme="minorHAnsi"/>
                <w:sz w:val="24"/>
                <w:szCs w:val="24"/>
                <w:lang w:eastAsia="pl-PL"/>
              </w:rPr>
              <w:lastRenderedPageBreak/>
              <w:t>zwłaszcza zapisów z części dot. realizacji zasad horyzontalnych.</w:t>
            </w:r>
          </w:p>
        </w:tc>
        <w:tc>
          <w:tcPr>
            <w:tcW w:w="2020" w:type="dxa"/>
            <w:hideMark/>
          </w:tcPr>
          <w:p w14:paraId="68EF261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94D7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E2DB4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A6560C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A712A2A" w14:textId="77777777" w:rsidTr="50CFD00C">
        <w:trPr>
          <w:trHeight w:val="300"/>
        </w:trPr>
        <w:tc>
          <w:tcPr>
            <w:tcW w:w="704" w:type="dxa"/>
            <w:hideMark/>
          </w:tcPr>
          <w:p w14:paraId="4C711D5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A7EE41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1008E75"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6D660B5F"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t xml:space="preserve">Wsparcie polityki spójności będzie udzielane wyłącznie </w:t>
            </w:r>
            <w:r w:rsidRPr="00AD097C">
              <w:rPr>
                <w:rFonts w:ascii="Calibri" w:eastAsia="Arial" w:hAnsi="Calibri" w:cstheme="minorHAnsi"/>
                <w:sz w:val="24"/>
                <w:szCs w:val="24"/>
                <w:lang w:eastAsia="pl-PL"/>
              </w:rPr>
              <w:t>projektom</w:t>
            </w:r>
            <w:r w:rsidRPr="00AD097C">
              <w:rPr>
                <w:rFonts w:ascii="Calibri" w:eastAsia="Arial" w:hAnsi="Calibri" w:cstheme="minorHAnsi"/>
                <w:sz w:val="24"/>
                <w:szCs w:val="24"/>
              </w:rPr>
              <w:t xml:space="preserve"> i beneficjentom, którzy przestrzegają przepisów antydyskryminacyjnych, o których mowa w art. 9 ust. 3 Rozporządzenia PE i Rady nr 2021/1060. Wymagane będzie wskazanie przez wnioskodawcę </w:t>
            </w:r>
            <w:r w:rsidRPr="00AD097C">
              <w:rPr>
                <w:rFonts w:ascii="Calibri" w:eastAsia="Arial" w:hAnsi="Calibri" w:cstheme="minorHAnsi"/>
                <w:sz w:val="24"/>
                <w:szCs w:val="24"/>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7ECF38C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lastRenderedPageBreak/>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6EC2923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6F68E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21806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EB32A7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13C3ED19" w14:textId="77777777" w:rsidTr="50CFD00C">
        <w:trPr>
          <w:trHeight w:val="300"/>
        </w:trPr>
        <w:tc>
          <w:tcPr>
            <w:tcW w:w="704" w:type="dxa"/>
            <w:hideMark/>
          </w:tcPr>
          <w:p w14:paraId="126B85AC"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1F3C6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Zgodność projektu z Konwencją o Prawach Osób Niepełnosprawnych, sporządzoną w Nowym Jorku dnia 13 grudnia 2006 r. (Dz. U. z 2012 r. poz. 1169, z późn. zm.), w zakresie odnoszącym się do sposobu realizacji, zakresu </w:t>
            </w:r>
            <w:r w:rsidRPr="00AD097C">
              <w:rPr>
                <w:rFonts w:ascii="Calibri" w:eastAsia="Times New Roman" w:hAnsi="Calibri" w:cstheme="minorHAnsi"/>
                <w:sz w:val="24"/>
                <w:szCs w:val="24"/>
                <w:lang w:eastAsia="pl-PL"/>
              </w:rPr>
              <w:lastRenderedPageBreak/>
              <w:t>projektu i wnioskodawcy.</w:t>
            </w:r>
          </w:p>
        </w:tc>
        <w:tc>
          <w:tcPr>
            <w:tcW w:w="5685" w:type="dxa"/>
            <w:hideMark/>
          </w:tcPr>
          <w:p w14:paraId="4025B7E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020C99D2"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3875C7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197964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123BFB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7E6A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44EC25E" w14:textId="77777777" w:rsidTr="50CFD00C">
        <w:trPr>
          <w:trHeight w:val="300"/>
        </w:trPr>
        <w:tc>
          <w:tcPr>
            <w:tcW w:w="704" w:type="dxa"/>
            <w:hideMark/>
          </w:tcPr>
          <w:p w14:paraId="5E6B9419"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01D6FE0" w14:textId="77777777" w:rsidR="00AD097C" w:rsidRPr="00AD097C" w:rsidRDefault="00AD097C" w:rsidP="00AD097C">
            <w:pPr>
              <w:spacing w:before="100" w:beforeAutospacing="1" w:after="100" w:afterAutospacing="1"/>
              <w:textAlignment w:val="baseline"/>
              <w:rPr>
                <w:rFonts w:ascii="Calibri" w:eastAsia="Times New Roman" w:hAnsi="Calibri" w:cs="Times New Roman"/>
                <w:color w:val="000000" w:themeColor="text1"/>
                <w:sz w:val="24"/>
                <w:szCs w:val="24"/>
                <w:lang w:eastAsia="pl-PL"/>
              </w:rPr>
            </w:pPr>
            <w:r w:rsidRPr="00AD097C">
              <w:rPr>
                <w:rFonts w:ascii="Calibri" w:eastAsia="Times New Roman" w:hAnsi="Calibri" w:cs="Times New Roman"/>
                <w:color w:val="000000" w:themeColor="text1"/>
                <w:sz w:val="24"/>
                <w:szCs w:val="24"/>
                <w:lang w:eastAsia="pl-PL"/>
              </w:rPr>
              <w:t xml:space="preserve">Zgodność projektu z zasadą deinstytucjonalizacji </w:t>
            </w:r>
          </w:p>
        </w:tc>
        <w:tc>
          <w:tcPr>
            <w:tcW w:w="5685" w:type="dxa"/>
            <w:hideMark/>
          </w:tcPr>
          <w:p w14:paraId="63EF91BD"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Wsparcie będzie udzielane wyłącznie projektom zgodnym z zasadą deinstytucjonalizacji:</w:t>
            </w:r>
          </w:p>
          <w:p w14:paraId="78B6E316" w14:textId="70A07AFC" w:rsidR="00712A81" w:rsidRPr="00AC3008" w:rsidRDefault="00712A81" w:rsidP="00402DBB">
            <w:pPr>
              <w:spacing w:before="100" w:beforeAutospacing="1" w:after="100" w:afterAutospacing="1"/>
              <w:ind w:left="365" w:hanging="142"/>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t>
            </w:r>
            <w:r w:rsidRPr="00AC3008">
              <w:rPr>
                <w:rFonts w:eastAsia="Times New Roman" w:cstheme="minorHAnsi"/>
                <w:color w:val="000000"/>
                <w:sz w:val="24"/>
                <w:szCs w:val="24"/>
                <w:lang w:eastAsia="pl-PL"/>
              </w:rPr>
              <w:tab/>
              <w:t>w zakresie CP4: inwestycje infrastrukturalne w placówki świadczące całodobową opiekę długoterminową w instytucjonalnych formach nie będą wspierane;</w:t>
            </w:r>
          </w:p>
          <w:p w14:paraId="1B32C49F" w14:textId="4A45BE40" w:rsidR="00712A81" w:rsidRPr="00712A81" w:rsidRDefault="00712A81" w:rsidP="00402DBB">
            <w:pPr>
              <w:pStyle w:val="Akapitzlist"/>
              <w:numPr>
                <w:ilvl w:val="3"/>
                <w:numId w:val="31"/>
              </w:numPr>
              <w:spacing w:before="100" w:beforeAutospacing="1" w:after="100" w:afterAutospacing="1"/>
              <w:ind w:left="365" w:hanging="14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w zakresie wszystkich CP: jeśli inwestycja dotyczy infrastruktury obszaru usług edukacyjnych, społecznych i zdrowotnych – weryfikacji podlega, czy inwestycja jest zgodna z:</w:t>
            </w:r>
          </w:p>
          <w:p w14:paraId="1DC775FE" w14:textId="77777777" w:rsid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 xml:space="preserve">zapisami art. 9 Rozporządzenia 1060/2021, wymogami Konwencji ONZ o Prawach Osób Niepełnosprawnych (w szczególności art.19), w tym Komentarzami Ogólnymi 4 i 5 oraz uwagami końcowymi dla Polski Komitetu ONZ </w:t>
            </w:r>
            <w:r w:rsidRPr="00712A81">
              <w:rPr>
                <w:rFonts w:eastAsia="Times New Roman" w:cstheme="minorHAnsi"/>
                <w:color w:val="000000"/>
                <w:sz w:val="24"/>
                <w:szCs w:val="24"/>
                <w:lang w:eastAsia="pl-PL"/>
              </w:rPr>
              <w:lastRenderedPageBreak/>
              <w:t>ds. Praw Osób Niepełnosprawnych, z należytym poszanowaniem zasad równości, wolności wyboru, prawa do niezależnego życia, dostępności i zakazu wszelkich form segregacji;</w:t>
            </w:r>
          </w:p>
          <w:p w14:paraId="5C16E336" w14:textId="659DB8F6" w:rsidR="00712A81" w:rsidRP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strategią deinstytucjonalizacji, Kartą Praw Podstawowych, Europejskim Filarem Praw Społecznych, Strategią na rzecz praw osób niepełnosprawnych 2021-2030, Konwencją ONZ o Prawach Dziecka (w szczególności art. 20 i 21).</w:t>
            </w:r>
          </w:p>
          <w:p w14:paraId="75176502"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6459DAAF" w14:textId="1D8AE821" w:rsidR="00AD097C" w:rsidRPr="00AD097C" w:rsidRDefault="00712A81" w:rsidP="00712A81">
            <w:pPr>
              <w:spacing w:before="100" w:beforeAutospacing="1" w:after="100" w:afterAutospacing="1"/>
              <w:textAlignment w:val="baseline"/>
              <w:rPr>
                <w:rFonts w:ascii="Calibri" w:eastAsia="Times New Roman" w:hAnsi="Calibri" w:cstheme="minorHAnsi"/>
                <w:color w:val="000000" w:themeColor="text1"/>
                <w:sz w:val="24"/>
                <w:szCs w:val="24"/>
                <w:lang w:eastAsia="pl-PL"/>
              </w:rPr>
            </w:pPr>
            <w:r w:rsidRPr="00AC3008">
              <w:rPr>
                <w:rFonts w:eastAsia="Times New Roman" w:cstheme="minorHAnsi"/>
                <w:color w:val="000000"/>
                <w:sz w:val="24"/>
                <w:szCs w:val="24"/>
                <w:lang w:eastAsia="pl-PL"/>
              </w:rPr>
              <w:lastRenderedPageBreak/>
              <w:t>Kryterium zostanie zweryfikowane na podstawie zapisów we wniosku o dofinansowanie projektu.</w:t>
            </w:r>
          </w:p>
        </w:tc>
        <w:tc>
          <w:tcPr>
            <w:tcW w:w="2020" w:type="dxa"/>
            <w:hideMark/>
          </w:tcPr>
          <w:p w14:paraId="6627648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047AF8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24F7B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A406AD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7C9ADD8" w14:textId="77777777" w:rsidTr="50CFD00C">
        <w:trPr>
          <w:trHeight w:val="300"/>
        </w:trPr>
        <w:tc>
          <w:tcPr>
            <w:tcW w:w="704" w:type="dxa"/>
            <w:hideMark/>
          </w:tcPr>
          <w:p w14:paraId="3C8386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CC46FB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Prawidłowość zawarcia partnerstwa – w tym partnerstwa publiczno - prywatnego (jeśli dotyczy)</w:t>
            </w:r>
          </w:p>
        </w:tc>
        <w:tc>
          <w:tcPr>
            <w:tcW w:w="5685" w:type="dxa"/>
            <w:hideMark/>
          </w:tcPr>
          <w:p w14:paraId="36FDE8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5C16230"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26E0A2BB" w14:textId="77777777" w:rsidR="00AD097C" w:rsidRPr="00AD097C" w:rsidRDefault="00AD097C" w:rsidP="00AD097C">
            <w:pPr>
              <w:numPr>
                <w:ilvl w:val="0"/>
                <w:numId w:val="15"/>
              </w:numPr>
              <w:tabs>
                <w:tab w:val="clear" w:pos="720"/>
                <w:tab w:val="num" w:pos="365"/>
              </w:tabs>
              <w:spacing w:beforeAutospacing="1" w:afterAutospacing="1"/>
              <w:ind w:left="365" w:hanging="365"/>
              <w:rPr>
                <w:rFonts w:ascii="Calibri" w:eastAsia="Times New Roman" w:hAnsi="Calibri" w:cstheme="minorHAnsi"/>
                <w:color w:val="000000" w:themeColor="text1"/>
                <w:sz w:val="24"/>
                <w:szCs w:val="24"/>
                <w:lang w:eastAsia="pl-PL"/>
              </w:rPr>
            </w:pPr>
            <w:r w:rsidRPr="00AD097C">
              <w:rPr>
                <w:rFonts w:ascii="Calibri" w:eastAsia="Times New Roman" w:hAnsi="Calibri"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12CFAADD"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 przypadku projektu partnerskiego, dochowano wszystkich obowiązków wynikających z ustawy z dnia 28 kwietnia 2022 roku o zasadach realizacji zadań finansowanych ze środków </w:t>
            </w:r>
            <w:r w:rsidRPr="00AD097C">
              <w:rPr>
                <w:rFonts w:ascii="Calibri" w:eastAsia="Times New Roman" w:hAnsi="Calibri" w:cstheme="minorHAnsi"/>
                <w:color w:val="000000" w:themeColor="text1"/>
                <w:sz w:val="24"/>
                <w:szCs w:val="24"/>
                <w:lang w:eastAsia="pl-PL"/>
              </w:rPr>
              <w:lastRenderedPageBreak/>
              <w:t>europejskich w perspektywie finansowej 2021–2027?</w:t>
            </w:r>
          </w:p>
          <w:p w14:paraId="43DAAC56"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w:t>
            </w:r>
          </w:p>
        </w:tc>
        <w:tc>
          <w:tcPr>
            <w:tcW w:w="2020" w:type="dxa"/>
            <w:hideMark/>
          </w:tcPr>
          <w:p w14:paraId="371247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33E341E" w14:textId="1C3D4CF2"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46238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72E56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2A44A1E2" w14:textId="77777777" w:rsidTr="50CFD00C">
        <w:trPr>
          <w:trHeight w:val="300"/>
        </w:trPr>
        <w:tc>
          <w:tcPr>
            <w:tcW w:w="704" w:type="dxa"/>
            <w:hideMark/>
          </w:tcPr>
          <w:p w14:paraId="3F1F18F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70D082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Wynikanie projektu z aktualnego i pozytywnie zaopiniowanego programu </w:t>
            </w:r>
            <w:r w:rsidRPr="00AD097C">
              <w:rPr>
                <w:rFonts w:ascii="Calibri" w:eastAsia="Times New Roman" w:hAnsi="Calibri" w:cstheme="minorHAnsi"/>
                <w:sz w:val="24"/>
                <w:szCs w:val="24"/>
                <w:lang w:eastAsia="pl-PL"/>
              </w:rPr>
              <w:lastRenderedPageBreak/>
              <w:t>rewitalizacji (jeśli dotyczy)</w:t>
            </w:r>
          </w:p>
        </w:tc>
        <w:tc>
          <w:tcPr>
            <w:tcW w:w="5685" w:type="dxa"/>
            <w:hideMark/>
          </w:tcPr>
          <w:p w14:paraId="39FFA7C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w:t>
            </w:r>
            <w:r w:rsidRPr="00AD097C">
              <w:rPr>
                <w:rFonts w:ascii="Calibri" w:eastAsia="Times New Roman" w:hAnsi="Calibri" w:cstheme="minorHAnsi"/>
                <w:sz w:val="24"/>
                <w:szCs w:val="24"/>
                <w:lang w:eastAsia="pl-PL"/>
              </w:rPr>
              <w:lastRenderedPageBreak/>
              <w:t>programu rewitalizacji badana jest tylko dla tych projektów, które we wniosku o dofinansowanie deklarują się jako projekty rewitalizacyjne.</w:t>
            </w:r>
          </w:p>
          <w:p w14:paraId="1FD33ED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Przedmiotem oceny formalnej jest potwierdzenie:</w:t>
            </w:r>
          </w:p>
          <w:p w14:paraId="061E08D6" w14:textId="77777777" w:rsidR="00AD097C" w:rsidRPr="00AD097C" w:rsidRDefault="00AD097C" w:rsidP="00AD097C">
            <w:pPr>
              <w:numPr>
                <w:ilvl w:val="0"/>
                <w:numId w:val="16"/>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4945A799"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planowanych podstawowych/ogólnej charakterystyki pozostałych przedsięwzięć rewitalizacyjnych określonych w programie rewitalizacji?</w:t>
            </w:r>
          </w:p>
          <w:p w14:paraId="103B78B8"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obszarze/podobszarze rewitalizacji (z zastrzeżeniem zastosowania art. 15 ust.3 ustawy z dnia 9 października 2015 r. o </w:t>
            </w:r>
            <w:r w:rsidRPr="00AD097C">
              <w:rPr>
                <w:rFonts w:ascii="Calibri" w:eastAsia="Times New Roman" w:hAnsi="Calibri" w:cstheme="minorHAnsi"/>
                <w:sz w:val="24"/>
                <w:szCs w:val="24"/>
                <w:lang w:eastAsia="pl-PL"/>
              </w:rPr>
              <w:lastRenderedPageBreak/>
              <w:t xml:space="preserve">rewitalizacji), lokalizacja projektu będzie weryfikowana przy pomocy narzędzia </w:t>
            </w:r>
            <w:r w:rsidRPr="00AD097C">
              <w:rPr>
                <w:rFonts w:ascii="Calibri" w:eastAsia="Times New Roman" w:hAnsi="Calibri" w:cstheme="minorHAnsi"/>
                <w:b/>
                <w:sz w:val="24"/>
                <w:szCs w:val="24"/>
                <w:lang w:eastAsia="pl-PL"/>
              </w:rPr>
              <w:t>Otwartego Regionalnego Systemu Informacji Przestrzennej Województwa Śląskiego</w:t>
            </w:r>
            <w:r w:rsidRPr="00AD097C">
              <w:rPr>
                <w:rFonts w:ascii="Calibri" w:eastAsia="Times New Roman" w:hAnsi="Calibri" w:cstheme="minorHAnsi"/>
                <w:b/>
                <w:bCs/>
                <w:sz w:val="24"/>
                <w:szCs w:val="24"/>
                <w:lang w:eastAsia="pl-PL"/>
              </w:rPr>
              <w:t xml:space="preserve"> (ORSIP 2.0 lub jego aktualizacja)</w:t>
            </w:r>
            <w:r w:rsidRPr="00AD097C">
              <w:rPr>
                <w:rFonts w:ascii="Calibri" w:eastAsia="Times New Roman" w:hAnsi="Calibri" w:cstheme="minorHAnsi"/>
                <w:sz w:val="24"/>
                <w:szCs w:val="24"/>
                <w:lang w:eastAsia="pl-PL"/>
              </w:rPr>
              <w:t>?</w:t>
            </w:r>
          </w:p>
          <w:p w14:paraId="5492E00B"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lokalizacja projektu (nr działki, adres) nie uległa zmianie w stosunku do lokalizacji podanej w programie rewitalizacji, lokalizacja projektu będzie weryfikowana przy pomocy narzędzia Otwartego Regionalnego Systemu Informacji Przestrzennej Województwa Śląskiego </w:t>
            </w:r>
            <w:r w:rsidRPr="00AD097C">
              <w:rPr>
                <w:rFonts w:ascii="Calibri" w:eastAsia="Times New Roman" w:hAnsi="Calibri" w:cstheme="minorHAnsi"/>
                <w:b/>
                <w:bCs/>
                <w:sz w:val="24"/>
                <w:szCs w:val="24"/>
                <w:lang w:eastAsia="pl-PL"/>
              </w:rPr>
              <w:t>(ORSIP 2.0 lub jego aktualizacja)</w:t>
            </w:r>
            <w:r w:rsidRPr="00AD097C">
              <w:rPr>
                <w:rFonts w:ascii="Calibri" w:eastAsia="Times New Roman" w:hAnsi="Calibri" w:cstheme="minorHAnsi"/>
                <w:sz w:val="24"/>
                <w:szCs w:val="24"/>
                <w:lang w:eastAsia="pl-PL"/>
              </w:rPr>
              <w:t>?</w:t>
            </w:r>
          </w:p>
          <w:p w14:paraId="21A9DE7D"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w:t>
            </w:r>
            <w:r w:rsidRPr="00AD097C">
              <w:rPr>
                <w:rFonts w:ascii="Calibri" w:eastAsia="Times New Roman" w:hAnsi="Calibri" w:cstheme="minorHAnsi"/>
                <w:sz w:val="24"/>
                <w:szCs w:val="24"/>
                <w:lang w:eastAsia="pl-PL"/>
              </w:rPr>
              <w:lastRenderedPageBreak/>
              <w:t>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020" w:type="dxa"/>
            <w:hideMark/>
          </w:tcPr>
          <w:p w14:paraId="0CC928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C2CD7D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F6227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38401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48C6BB0" w14:textId="77777777" w:rsidTr="50CFD00C">
        <w:trPr>
          <w:trHeight w:val="300"/>
        </w:trPr>
        <w:tc>
          <w:tcPr>
            <w:tcW w:w="704" w:type="dxa"/>
            <w:hideMark/>
          </w:tcPr>
          <w:p w14:paraId="260321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121B51B" w14:textId="22509D6B" w:rsidR="00AD097C" w:rsidRPr="00AD097C" w:rsidRDefault="00AD097C" w:rsidP="50CFD00C">
            <w:pPr>
              <w:spacing w:before="100" w:beforeAutospacing="1" w:after="100" w:afterAutospacing="1"/>
              <w:textAlignment w:val="baseline"/>
              <w:rPr>
                <w:rFonts w:ascii="Calibri" w:eastAsia="Times New Roman" w:hAnsi="Calibri"/>
                <w:color w:val="000000" w:themeColor="text1"/>
                <w:sz w:val="24"/>
                <w:szCs w:val="24"/>
                <w:lang w:eastAsia="pl-PL"/>
              </w:rPr>
            </w:pPr>
            <w:r w:rsidRPr="50CFD00C">
              <w:rPr>
                <w:rFonts w:ascii="Calibri" w:eastAsia="Times New Roman" w:hAnsi="Calibri"/>
                <w:color w:val="000000" w:themeColor="text1"/>
                <w:sz w:val="24"/>
                <w:szCs w:val="24"/>
                <w:lang w:eastAsia="pl-PL"/>
              </w:rPr>
              <w:t>Funkcjonowanie infrastruktury w okresie trwałoś</w:t>
            </w:r>
            <w:r w:rsidR="05A9D631" w:rsidRPr="50CFD00C">
              <w:rPr>
                <w:rFonts w:ascii="Calibri" w:eastAsia="Times New Roman" w:hAnsi="Calibri"/>
                <w:color w:val="000000" w:themeColor="text1"/>
                <w:sz w:val="24"/>
                <w:szCs w:val="24"/>
                <w:lang w:eastAsia="pl-PL"/>
              </w:rPr>
              <w:t>ci</w:t>
            </w:r>
          </w:p>
        </w:tc>
        <w:tc>
          <w:tcPr>
            <w:tcW w:w="5685" w:type="dxa"/>
            <w:hideMark/>
          </w:tcPr>
          <w:p w14:paraId="652DABB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2422772F"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prawidłowo określono okres trwałości (3/5 lat / Nie dotyczy)?</w:t>
            </w:r>
          </w:p>
          <w:p w14:paraId="594313C6"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2020" w:type="dxa"/>
            <w:hideMark/>
          </w:tcPr>
          <w:p w14:paraId="7D5A7AA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131F5B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4FEEA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7318D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rsidDel="00131B37" w14:paraId="1EF48EA6" w14:textId="77777777" w:rsidTr="50CFD00C">
        <w:trPr>
          <w:trHeight w:val="300"/>
        </w:trPr>
        <w:tc>
          <w:tcPr>
            <w:tcW w:w="704" w:type="dxa"/>
            <w:hideMark/>
          </w:tcPr>
          <w:p w14:paraId="1A0BFD48" w14:textId="77777777" w:rsidR="00AD097C" w:rsidRPr="00AD097C" w:rsidDel="00131B37"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9006B6D"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color w:val="000000"/>
                <w:sz w:val="24"/>
                <w:szCs w:val="24"/>
                <w:lang w:eastAsia="pl-PL"/>
              </w:rPr>
              <w:t>Poprawność informacji dot. zadań w projekcie</w:t>
            </w:r>
          </w:p>
        </w:tc>
        <w:tc>
          <w:tcPr>
            <w:tcW w:w="5685" w:type="dxa"/>
            <w:hideMark/>
          </w:tcPr>
          <w:p w14:paraId="00261E40"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51633512"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nazwa zadania jest adekwatna i odpowiada zakresowi rzeczowemu zadania?</w:t>
            </w:r>
          </w:p>
          <w:p w14:paraId="65F7D9BE"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70692CF4"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wskazano realizatora przy poszczególnych zadaniach?</w:t>
            </w:r>
          </w:p>
        </w:tc>
        <w:tc>
          <w:tcPr>
            <w:tcW w:w="2020" w:type="dxa"/>
            <w:hideMark/>
          </w:tcPr>
          <w:p w14:paraId="0DEE922B"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TAK</w:t>
            </w:r>
          </w:p>
          <w:p w14:paraId="146A231C"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Kryterium podlega uzupełnieniu</w:t>
            </w:r>
          </w:p>
        </w:tc>
        <w:tc>
          <w:tcPr>
            <w:tcW w:w="1985" w:type="dxa"/>
            <w:hideMark/>
          </w:tcPr>
          <w:p w14:paraId="46D1B872"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0/1</w:t>
            </w:r>
          </w:p>
        </w:tc>
        <w:tc>
          <w:tcPr>
            <w:tcW w:w="1908" w:type="dxa"/>
            <w:hideMark/>
          </w:tcPr>
          <w:p w14:paraId="769DCDFE"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Nie dotyczy</w:t>
            </w:r>
          </w:p>
        </w:tc>
      </w:tr>
      <w:tr w:rsidR="00AD097C" w:rsidRPr="00AD097C" w14:paraId="1DA5BB89" w14:textId="77777777" w:rsidTr="50CFD00C">
        <w:trPr>
          <w:trHeight w:val="300"/>
        </w:trPr>
        <w:tc>
          <w:tcPr>
            <w:tcW w:w="704" w:type="dxa"/>
            <w:hideMark/>
          </w:tcPr>
          <w:p w14:paraId="27113612"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A541A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wydatków</w:t>
            </w:r>
          </w:p>
        </w:tc>
        <w:tc>
          <w:tcPr>
            <w:tcW w:w="5685" w:type="dxa"/>
            <w:hideMark/>
          </w:tcPr>
          <w:p w14:paraId="677AD8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6EE2ADC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0930DB7F"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 xml:space="preserve">Czy w przypadku wydatków zaplanowanych do poniesienia, zostaną one poniesione najpóźniej 31 </w:t>
            </w:r>
            <w:r w:rsidRPr="00AD097C">
              <w:rPr>
                <w:rFonts w:ascii="Calibri" w:eastAsia="Times New Roman" w:hAnsi="Calibri" w:cstheme="minorHAnsi"/>
                <w:sz w:val="24"/>
                <w:szCs w:val="24"/>
                <w:lang w:eastAsia="pl-PL"/>
              </w:rPr>
              <w:t>grudnia 2029 r?</w:t>
            </w:r>
          </w:p>
          <w:p w14:paraId="32615FE5"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5CA895FA"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wydatki są logicznie </w:t>
            </w:r>
            <w:r w:rsidRPr="00AD097C">
              <w:rPr>
                <w:rFonts w:ascii="Calibri" w:eastAsia="Times New Roman" w:hAnsi="Calibri" w:cstheme="minorHAnsi"/>
                <w:color w:val="000000"/>
                <w:sz w:val="24"/>
                <w:szCs w:val="24"/>
                <w:lang w:eastAsia="pl-PL"/>
              </w:rPr>
              <w:t>powiązane i wynikają z zaplanowanych prac?</w:t>
            </w:r>
          </w:p>
          <w:p w14:paraId="4A8E8417"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 ramach zadań dotyczących kosztów bezpośrednich nie ujęto wydatków stanowiących koszty pośrednie?</w:t>
            </w:r>
          </w:p>
          <w:p w14:paraId="586E5240"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wybrano poprawną kategorię kosztu?</w:t>
            </w:r>
          </w:p>
          <w:p w14:paraId="1B5650AC"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poprawnie wskazano kategorię limitowaną przy poszczególnych wydatkach?</w:t>
            </w:r>
          </w:p>
          <w:p w14:paraId="59618DC8"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wydatki nie przekraczają limitów (w przypadku obowiązywania limitu; dotyczy także kosztów pośrednich)?</w:t>
            </w:r>
          </w:p>
          <w:p w14:paraId="0E890D7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020" w:type="dxa"/>
            <w:hideMark/>
          </w:tcPr>
          <w:p w14:paraId="3AD5957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ED317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342D2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p w14:paraId="658CA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Kwalifikowalność oceniana będzie na podstawie dokumentów obowiązujących </w:t>
            </w:r>
            <w:r w:rsidRPr="00AD097C">
              <w:rPr>
                <w:rFonts w:ascii="Calibri" w:eastAsia="Times New Roman" w:hAnsi="Calibri" w:cstheme="minorHAnsi"/>
                <w:sz w:val="24"/>
                <w:szCs w:val="24"/>
                <w:lang w:eastAsia="pl-PL"/>
              </w:rPr>
              <w:lastRenderedPageBreak/>
              <w:t>w momencie ogłoszenia naboru. Po wyborze do dofinansowania, stosowanie będą zapisy dokumentu, obowiązującego na moment ponoszenia wydatku.</w:t>
            </w:r>
          </w:p>
        </w:tc>
        <w:tc>
          <w:tcPr>
            <w:tcW w:w="1908" w:type="dxa"/>
            <w:hideMark/>
          </w:tcPr>
          <w:p w14:paraId="6061A9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Nie dotyczy</w:t>
            </w:r>
          </w:p>
        </w:tc>
      </w:tr>
      <w:tr w:rsidR="00AD097C" w:rsidRPr="00AD097C" w14:paraId="35E7D325" w14:textId="77777777" w:rsidTr="50CFD00C">
        <w:trPr>
          <w:trHeight w:val="300"/>
        </w:trPr>
        <w:tc>
          <w:tcPr>
            <w:tcW w:w="704" w:type="dxa"/>
            <w:hideMark/>
          </w:tcPr>
          <w:p w14:paraId="7A1849B6"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0D0CE3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określenia poziomu dofinansowania oraz kosztów projektu (badane na moment składania wniosku)</w:t>
            </w:r>
          </w:p>
        </w:tc>
        <w:tc>
          <w:tcPr>
            <w:tcW w:w="5685" w:type="dxa"/>
            <w:hideMark/>
          </w:tcPr>
          <w:p w14:paraId="3584F5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8CD9BBC"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minimalny wkład własny jako % wydatków kwalifikowalnych (jeśli określono w regulaminie wyboru projektów)?</w:t>
            </w:r>
          </w:p>
          <w:p w14:paraId="12DC4FE5"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minimalną i maksymalną wartość projektu (jeśli określono w regulaminie wyboru projektów)?</w:t>
            </w:r>
          </w:p>
          <w:p w14:paraId="28F1BA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wnioskodawca prawidłowo określił minimalną i maksymalną wartość wydatków kwalifikowalnych </w:t>
            </w:r>
            <w:r w:rsidRPr="00AD097C">
              <w:rPr>
                <w:rFonts w:ascii="Calibri" w:eastAsia="Times New Roman" w:hAnsi="Calibri" w:cstheme="minorHAnsi"/>
                <w:color w:val="000000"/>
                <w:sz w:val="24"/>
                <w:szCs w:val="24"/>
                <w:lang w:eastAsia="pl-PL"/>
              </w:rPr>
              <w:lastRenderedPageBreak/>
              <w:t>projektu (jeśli określono w regulaminie wyboru projektów)?</w:t>
            </w:r>
          </w:p>
          <w:p w14:paraId="5C8A4802"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3FF94F17"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5A5C01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poprawnie wskazano źródło finansowania wkładu własnego?</w:t>
            </w:r>
          </w:p>
        </w:tc>
        <w:tc>
          <w:tcPr>
            <w:tcW w:w="2020" w:type="dxa"/>
            <w:hideMark/>
          </w:tcPr>
          <w:p w14:paraId="16B02E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0063D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A7FADA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F36019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3FC2A27" w14:textId="77777777" w:rsidTr="50CFD00C">
        <w:trPr>
          <w:trHeight w:val="709"/>
        </w:trPr>
        <w:tc>
          <w:tcPr>
            <w:tcW w:w="704" w:type="dxa"/>
            <w:hideMark/>
          </w:tcPr>
          <w:p w14:paraId="199BF9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0FB2F8C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doboru wskaźników projektu oraz ich wartości</w:t>
            </w:r>
          </w:p>
        </w:tc>
        <w:tc>
          <w:tcPr>
            <w:tcW w:w="5685" w:type="dxa"/>
            <w:hideMark/>
          </w:tcPr>
          <w:p w14:paraId="5FFFDF49" w14:textId="77777777" w:rsidR="00AD097C" w:rsidRPr="00AD097C" w:rsidRDefault="00AD097C" w:rsidP="00AD097C">
            <w:pPr>
              <w:spacing w:before="100" w:beforeAutospacing="1" w:after="100" w:afterAutospacing="1"/>
              <w:ind w:left="480" w:hanging="4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7625D54C"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wskaźniki zostały dobrane odpowiednio do zakresu i efektów projektu?</w:t>
            </w:r>
          </w:p>
          <w:p w14:paraId="2474C663"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wnioskodawca wybrał możliwe do zrealizowania wskaźniki, oznaczone w regulaminie wyboru projektów?  (czy nie brakuje wskaźnika)?</w:t>
            </w:r>
          </w:p>
          <w:p w14:paraId="2EEB8E8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1DC753E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informacje dot. wskaźników zawarte we wniosku i załącznikach są spójne?</w:t>
            </w:r>
          </w:p>
        </w:tc>
        <w:tc>
          <w:tcPr>
            <w:tcW w:w="2020" w:type="dxa"/>
            <w:hideMark/>
          </w:tcPr>
          <w:p w14:paraId="02EA27E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C0A574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3C2669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E71AC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bl>
    <w:p w14:paraId="0AB2EFDA" w14:textId="77777777" w:rsidR="00AD097C" w:rsidRPr="00AD097C" w:rsidRDefault="00AD097C" w:rsidP="00AD097C">
      <w:pPr>
        <w:keepNext/>
        <w:keepLines/>
        <w:spacing w:before="480" w:after="240"/>
        <w:outlineLvl w:val="0"/>
        <w:rPr>
          <w:rFonts w:asciiTheme="minorHAnsi" w:eastAsiaTheme="majorEastAsia" w:hAnsiTheme="minorHAnsi" w:cstheme="majorBidi"/>
          <w:b/>
          <w:sz w:val="24"/>
          <w:szCs w:val="32"/>
        </w:rPr>
      </w:pPr>
      <w:bookmarkStart w:id="6" w:name="_Hlk136336339"/>
      <w:bookmarkEnd w:id="5"/>
      <w:r w:rsidRPr="00AD097C">
        <w:rPr>
          <w:rFonts w:asciiTheme="minorHAnsi" w:eastAsiaTheme="majorEastAsia" w:hAnsiTheme="minorHAnsi" w:cstheme="majorBidi"/>
          <w:b/>
          <w:sz w:val="24"/>
          <w:szCs w:val="32"/>
        </w:rPr>
        <w:lastRenderedPageBreak/>
        <w:t>Tabela 2. Kryteria formalne specyficzne</w:t>
      </w:r>
    </w:p>
    <w:tbl>
      <w:tblPr>
        <w:tblStyle w:val="Tabela-Siatka"/>
        <w:tblW w:w="14596" w:type="dxa"/>
        <w:tblLook w:val="04A0" w:firstRow="1" w:lastRow="0" w:firstColumn="1" w:lastColumn="0" w:noHBand="0" w:noVBand="1"/>
        <w:tblCaption w:val="Kryteria formalne specyficzne"/>
        <w:tblDescription w:val="Tabela 2. Zestawienie kryteriów formalnych specyficznych dla Działania FE SL 03.01 - ZIT"/>
      </w:tblPr>
      <w:tblGrid>
        <w:gridCol w:w="843"/>
        <w:gridCol w:w="2419"/>
        <w:gridCol w:w="5596"/>
        <w:gridCol w:w="2048"/>
        <w:gridCol w:w="1762"/>
        <w:gridCol w:w="1928"/>
      </w:tblGrid>
      <w:tr w:rsidR="00661B13" w:rsidRPr="00AF72EE" w14:paraId="5A084ED1" w14:textId="77777777" w:rsidTr="00550F22">
        <w:trPr>
          <w:trHeight w:val="1110"/>
        </w:trPr>
        <w:tc>
          <w:tcPr>
            <w:tcW w:w="843" w:type="dxa"/>
            <w:shd w:val="clear" w:color="auto" w:fill="A6A6A6" w:themeFill="background1" w:themeFillShade="A6"/>
            <w:hideMark/>
          </w:tcPr>
          <w:bookmarkEnd w:id="6"/>
          <w:p w14:paraId="17023325" w14:textId="528F1F2D"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19" w:type="dxa"/>
            <w:shd w:val="clear" w:color="auto" w:fill="A6A6A6" w:themeFill="background1" w:themeFillShade="A6"/>
            <w:hideMark/>
          </w:tcPr>
          <w:p w14:paraId="4A70C71E" w14:textId="761E9C74"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596" w:type="dxa"/>
            <w:shd w:val="clear" w:color="auto" w:fill="A6A6A6" w:themeFill="background1" w:themeFillShade="A6"/>
            <w:hideMark/>
          </w:tcPr>
          <w:p w14:paraId="303A0FA3" w14:textId="307CF364"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2048" w:type="dxa"/>
            <w:shd w:val="clear" w:color="auto" w:fill="A6A6A6" w:themeFill="background1" w:themeFillShade="A6"/>
            <w:hideMark/>
          </w:tcPr>
          <w:p w14:paraId="3E76B46F" w14:textId="355EA1D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762" w:type="dxa"/>
            <w:shd w:val="clear" w:color="auto" w:fill="A6A6A6" w:themeFill="background1" w:themeFillShade="A6"/>
            <w:hideMark/>
          </w:tcPr>
          <w:p w14:paraId="6AF4E674" w14:textId="6D67C5DD"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928" w:type="dxa"/>
            <w:shd w:val="clear" w:color="auto" w:fill="A6A6A6" w:themeFill="background1" w:themeFillShade="A6"/>
            <w:hideMark/>
          </w:tcPr>
          <w:p w14:paraId="5039F211" w14:textId="4CA1B53C"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9563B7" w:rsidRPr="00AF72EE" w14:paraId="33B79F6E" w14:textId="77777777" w:rsidTr="00550F22">
        <w:trPr>
          <w:trHeight w:val="300"/>
        </w:trPr>
        <w:tc>
          <w:tcPr>
            <w:tcW w:w="843" w:type="dxa"/>
            <w:hideMark/>
          </w:tcPr>
          <w:p w14:paraId="0BC47D33" w14:textId="108FF0A0" w:rsidR="009563B7" w:rsidRPr="00AE43CB" w:rsidRDefault="009563B7" w:rsidP="009563B7">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hideMark/>
          </w:tcPr>
          <w:p w14:paraId="27F7B469" w14:textId="77777777" w:rsidR="009563B7" w:rsidRPr="00EC5BCA" w:rsidRDefault="009563B7" w:rsidP="009563B7">
            <w:pPr>
              <w:spacing w:before="100" w:beforeAutospacing="1" w:after="100" w:afterAutospacing="1" w:line="240" w:lineRule="auto"/>
              <w:textAlignment w:val="baseline"/>
              <w:rPr>
                <w:rFonts w:cs="Arial"/>
                <w:color w:val="000000" w:themeColor="text1"/>
                <w:sz w:val="24"/>
                <w:szCs w:val="24"/>
              </w:rPr>
            </w:pPr>
            <w:r w:rsidRPr="00EC5BCA">
              <w:rPr>
                <w:rFonts w:cs="Arial"/>
                <w:color w:val="000000" w:themeColor="text1"/>
                <w:sz w:val="24"/>
                <w:szCs w:val="24"/>
              </w:rPr>
              <w:t>Zapewnienie powszechnej informacji w językach obcych (jeśli dotyczy).</w:t>
            </w:r>
          </w:p>
          <w:p w14:paraId="0C03B5C4" w14:textId="296BCF2D" w:rsidR="009563B7" w:rsidRPr="00C82663" w:rsidRDefault="009563B7" w:rsidP="009563B7">
            <w:pPr>
              <w:spacing w:before="100" w:beforeAutospacing="1" w:after="100" w:afterAutospacing="1"/>
              <w:textAlignment w:val="baseline"/>
              <w:rPr>
                <w:rFonts w:eastAsia="Times New Roman" w:cstheme="minorHAnsi"/>
                <w:color w:val="000000" w:themeColor="text1"/>
                <w:sz w:val="24"/>
                <w:szCs w:val="24"/>
                <w:lang w:eastAsia="pl-PL"/>
              </w:rPr>
            </w:pPr>
          </w:p>
        </w:tc>
        <w:tc>
          <w:tcPr>
            <w:tcW w:w="5596" w:type="dxa"/>
            <w:hideMark/>
          </w:tcPr>
          <w:p w14:paraId="0560E870" w14:textId="3D97C6CD"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Ocenie podlega czy w ramach projektu (jeżeli jest to możliwe i zasadne do zastosowania), zapewniono powszechnie dostępne, przejrzyste i aktualizowane informacje w językach obcych (angielski/ukraiński).</w:t>
            </w:r>
          </w:p>
        </w:tc>
        <w:tc>
          <w:tcPr>
            <w:tcW w:w="2048" w:type="dxa"/>
            <w:hideMark/>
          </w:tcPr>
          <w:p w14:paraId="1361C0B7"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 Tak </w:t>
            </w:r>
          </w:p>
          <w:p w14:paraId="282ADCE3"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p>
          <w:p w14:paraId="486E1651" w14:textId="0F68C7FC"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cs="Arial"/>
                <w:sz w:val="24"/>
                <w:szCs w:val="24"/>
              </w:rPr>
              <w:t>Kryterium podlega uzupełnieniu</w:t>
            </w:r>
          </w:p>
        </w:tc>
        <w:tc>
          <w:tcPr>
            <w:tcW w:w="1762" w:type="dxa"/>
            <w:hideMark/>
          </w:tcPr>
          <w:p w14:paraId="425AEAB5" w14:textId="68222781"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0/1</w:t>
            </w:r>
          </w:p>
        </w:tc>
        <w:tc>
          <w:tcPr>
            <w:tcW w:w="1928" w:type="dxa"/>
            <w:hideMark/>
          </w:tcPr>
          <w:p w14:paraId="34EAEDF5" w14:textId="518CC5F0"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Nie dotyczy</w:t>
            </w:r>
          </w:p>
        </w:tc>
      </w:tr>
      <w:tr w:rsidR="009563B7" w:rsidRPr="00AF72EE" w14:paraId="4191433A" w14:textId="77777777" w:rsidTr="00550F22">
        <w:trPr>
          <w:trHeight w:val="300"/>
        </w:trPr>
        <w:tc>
          <w:tcPr>
            <w:tcW w:w="843" w:type="dxa"/>
          </w:tcPr>
          <w:p w14:paraId="6FEA2D45" w14:textId="3E1F2EA6" w:rsidR="009563B7" w:rsidRPr="004E4D61" w:rsidRDefault="009563B7" w:rsidP="009563B7">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05D7972C" w14:textId="74A4F737" w:rsidR="009563B7" w:rsidRPr="00C82663" w:rsidRDefault="009563B7" w:rsidP="009563B7">
            <w:pPr>
              <w:spacing w:before="100" w:beforeAutospacing="1" w:after="100" w:afterAutospacing="1"/>
              <w:textAlignment w:val="baseline"/>
              <w:rPr>
                <w:rFonts w:cstheme="minorHAnsi"/>
                <w:color w:val="000000" w:themeColor="text1"/>
                <w:sz w:val="24"/>
                <w:szCs w:val="24"/>
              </w:rPr>
            </w:pPr>
            <w:r w:rsidRPr="00EC5BCA">
              <w:rPr>
                <w:rFonts w:cs="Arial"/>
                <w:color w:val="000000" w:themeColor="text1"/>
                <w:sz w:val="24"/>
                <w:szCs w:val="24"/>
              </w:rPr>
              <w:t xml:space="preserve">Lokalizacja obiektów „park&amp;ride” </w:t>
            </w:r>
            <w:r w:rsidRPr="00EC5BCA">
              <w:rPr>
                <w:color w:val="000000" w:themeColor="text1"/>
                <w:sz w:val="24"/>
                <w:szCs w:val="24"/>
              </w:rPr>
              <w:t>(</w:t>
            </w:r>
            <w:r w:rsidR="00692EC7">
              <w:rPr>
                <w:rFonts w:cs="Arial"/>
                <w:color w:val="000000" w:themeColor="text1"/>
                <w:sz w:val="24"/>
                <w:szCs w:val="24"/>
              </w:rPr>
              <w:t>jeżeli dotyczy).</w:t>
            </w:r>
          </w:p>
        </w:tc>
        <w:tc>
          <w:tcPr>
            <w:tcW w:w="5596" w:type="dxa"/>
          </w:tcPr>
          <w:p w14:paraId="45974505"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W ramach kryterium ocenie podlega, czy lokalizacja obiektów „</w:t>
            </w:r>
            <w:r w:rsidRPr="00EC5BCA">
              <w:rPr>
                <w:rStyle w:val="normaltextrun"/>
                <w:rFonts w:cs="Arial"/>
                <w:color w:val="000000"/>
                <w:sz w:val="24"/>
                <w:szCs w:val="24"/>
              </w:rPr>
              <w:t>park&amp;ride</w:t>
            </w:r>
            <w:r w:rsidRPr="00EC5BCA">
              <w:rPr>
                <w:rFonts w:eastAsia="Times New Roman" w:cs="Arial"/>
                <w:sz w:val="24"/>
                <w:szCs w:val="24"/>
                <w:lang w:eastAsia="pl-PL"/>
              </w:rPr>
              <w:t>” zapewnia integrację z publicznym transportem zbiorowym. W miastach pow. 50 tys. mieszkańców wsparcie dla tych obiektów będzie możliwe pod warunkiem ich zlokalizowania poza obszarem funkcjonalnego śródmieścia, wyznaczonym w studium uwarunkowań i kierunków zagospodarowania przestrzennego/ Planie zagospodarowania przestrzennego.</w:t>
            </w:r>
          </w:p>
          <w:p w14:paraId="3ACF2410" w14:textId="573F990C"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 xml:space="preserve">Ocenie podlega również, czy mechanizm, który Wnioskodawca zamierza zastosować do zarządzania w </w:t>
            </w:r>
            <w:r w:rsidRPr="00EC5BCA">
              <w:rPr>
                <w:rFonts w:eastAsia="Times New Roman" w:cs="Arial"/>
                <w:sz w:val="24"/>
                <w:szCs w:val="24"/>
                <w:lang w:eastAsia="pl-PL"/>
              </w:rPr>
              <w:lastRenderedPageBreak/>
              <w:t>ramach P&amp;R gwarantuje jego wykorzystywane wyłącznie w celu obsługi transportu zbiorowego.</w:t>
            </w:r>
          </w:p>
        </w:tc>
        <w:tc>
          <w:tcPr>
            <w:tcW w:w="2048" w:type="dxa"/>
          </w:tcPr>
          <w:p w14:paraId="38845E7A"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lastRenderedPageBreak/>
              <w:t xml:space="preserve"> Tak </w:t>
            </w:r>
          </w:p>
          <w:p w14:paraId="4929313B"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p>
          <w:p w14:paraId="37A752AE" w14:textId="4C528624"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cs="Arial"/>
                <w:sz w:val="24"/>
                <w:szCs w:val="24"/>
              </w:rPr>
              <w:t>Kryterium podlega uzupełnieniu</w:t>
            </w:r>
          </w:p>
        </w:tc>
        <w:tc>
          <w:tcPr>
            <w:tcW w:w="1762" w:type="dxa"/>
          </w:tcPr>
          <w:p w14:paraId="291BA106" w14:textId="78EECE5A"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0/1</w:t>
            </w:r>
          </w:p>
        </w:tc>
        <w:tc>
          <w:tcPr>
            <w:tcW w:w="1928" w:type="dxa"/>
          </w:tcPr>
          <w:p w14:paraId="23FD256B" w14:textId="5433E5AA"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Nie dotyczy</w:t>
            </w:r>
          </w:p>
        </w:tc>
      </w:tr>
      <w:tr w:rsidR="009563B7" w:rsidRPr="00AF72EE" w14:paraId="19131040" w14:textId="77777777" w:rsidTr="00550F22">
        <w:trPr>
          <w:trHeight w:val="300"/>
        </w:trPr>
        <w:tc>
          <w:tcPr>
            <w:tcW w:w="843" w:type="dxa"/>
          </w:tcPr>
          <w:p w14:paraId="19D971A0" w14:textId="538A3C42" w:rsidR="009563B7" w:rsidRPr="00AE43CB" w:rsidRDefault="009563B7" w:rsidP="009563B7">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45E8C145" w14:textId="72A4570F" w:rsidR="009563B7" w:rsidRPr="00C82663" w:rsidRDefault="009563B7" w:rsidP="009563B7">
            <w:pPr>
              <w:spacing w:before="100" w:beforeAutospacing="1" w:after="100" w:afterAutospacing="1"/>
              <w:textAlignment w:val="baseline"/>
              <w:rPr>
                <w:rFonts w:cstheme="minorHAnsi"/>
                <w:color w:val="000000" w:themeColor="text1"/>
                <w:sz w:val="24"/>
                <w:szCs w:val="24"/>
              </w:rPr>
            </w:pPr>
            <w:r w:rsidRPr="00EC5BCA">
              <w:rPr>
                <w:rFonts w:cs="Arial"/>
                <w:color w:val="000000" w:themeColor="text1"/>
                <w:sz w:val="24"/>
                <w:szCs w:val="24"/>
              </w:rPr>
              <w:t>Typ napędu w planowanym do zakupu taborze autobusowym.</w:t>
            </w:r>
          </w:p>
        </w:tc>
        <w:tc>
          <w:tcPr>
            <w:tcW w:w="5596" w:type="dxa"/>
          </w:tcPr>
          <w:p w14:paraId="0D4B4C1C" w14:textId="70D4A6DD"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Wsparciem może zostać objęty jedynie zakup taboru autobusowego o zerowej emisji spalin (tj. tabor elektryczny lub wodorowy)</w:t>
            </w:r>
          </w:p>
        </w:tc>
        <w:tc>
          <w:tcPr>
            <w:tcW w:w="2048" w:type="dxa"/>
          </w:tcPr>
          <w:p w14:paraId="41B6764B"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 Tak </w:t>
            </w:r>
          </w:p>
          <w:p w14:paraId="0FE4FCCE" w14:textId="77777777" w:rsidR="009563B7" w:rsidRPr="00EC5BCA" w:rsidRDefault="009563B7" w:rsidP="009563B7">
            <w:pPr>
              <w:spacing w:before="100" w:beforeAutospacing="1" w:after="100" w:afterAutospacing="1" w:line="240" w:lineRule="auto"/>
              <w:textAlignment w:val="baseline"/>
              <w:rPr>
                <w:rFonts w:eastAsia="Times New Roman" w:cs="Arial"/>
                <w:sz w:val="24"/>
                <w:szCs w:val="24"/>
                <w:lang w:eastAsia="pl-PL"/>
              </w:rPr>
            </w:pPr>
          </w:p>
          <w:p w14:paraId="1CB3920F" w14:textId="5EC33158"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cs="Arial"/>
                <w:sz w:val="24"/>
                <w:szCs w:val="24"/>
              </w:rPr>
              <w:t>Kryterium podlega uzupełnieniu</w:t>
            </w:r>
          </w:p>
        </w:tc>
        <w:tc>
          <w:tcPr>
            <w:tcW w:w="1762" w:type="dxa"/>
          </w:tcPr>
          <w:p w14:paraId="2FF712A8" w14:textId="61F579EA"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0/1</w:t>
            </w:r>
          </w:p>
        </w:tc>
        <w:tc>
          <w:tcPr>
            <w:tcW w:w="1928" w:type="dxa"/>
          </w:tcPr>
          <w:p w14:paraId="34937C44" w14:textId="0467F934" w:rsidR="009563B7" w:rsidRPr="00C82663" w:rsidRDefault="009563B7" w:rsidP="009563B7">
            <w:pPr>
              <w:spacing w:before="100" w:beforeAutospacing="1" w:after="100" w:afterAutospacing="1"/>
              <w:textAlignment w:val="baseline"/>
              <w:rPr>
                <w:rFonts w:eastAsia="Times New Roman" w:cstheme="minorHAnsi"/>
                <w:sz w:val="24"/>
                <w:szCs w:val="24"/>
                <w:lang w:eastAsia="pl-PL"/>
              </w:rPr>
            </w:pPr>
            <w:r w:rsidRPr="00EC5BCA">
              <w:rPr>
                <w:rFonts w:eastAsia="Times New Roman" w:cs="Arial"/>
                <w:sz w:val="24"/>
                <w:szCs w:val="24"/>
                <w:lang w:eastAsia="pl-PL"/>
              </w:rPr>
              <w:t>Nie dotyczy</w:t>
            </w:r>
          </w:p>
        </w:tc>
      </w:tr>
      <w:tr w:rsidR="009563B7" w:rsidRPr="00AF72EE" w14:paraId="3D8F1F4B" w14:textId="77777777" w:rsidTr="00550F22">
        <w:trPr>
          <w:trHeight w:val="300"/>
        </w:trPr>
        <w:tc>
          <w:tcPr>
            <w:tcW w:w="843" w:type="dxa"/>
          </w:tcPr>
          <w:p w14:paraId="33D12E58" w14:textId="04D8F697" w:rsidR="009563B7" w:rsidRPr="00AE43CB" w:rsidRDefault="009563B7" w:rsidP="009563B7">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7AEBB2B1" w14:textId="422E3DF7" w:rsidR="009563B7" w:rsidRPr="009563B7" w:rsidRDefault="009563B7" w:rsidP="009563B7">
            <w:pPr>
              <w:spacing w:before="100" w:beforeAutospacing="1" w:after="100" w:afterAutospacing="1"/>
              <w:textAlignment w:val="baseline"/>
              <w:rPr>
                <w:rFonts w:cstheme="minorHAnsi"/>
                <w:color w:val="000000" w:themeColor="text1"/>
                <w:sz w:val="24"/>
                <w:szCs w:val="24"/>
              </w:rPr>
            </w:pPr>
            <w:r w:rsidRPr="00692EC7">
              <w:rPr>
                <w:rFonts w:cs="Arial"/>
                <w:color w:val="000000" w:themeColor="text1"/>
                <w:sz w:val="24"/>
                <w:szCs w:val="24"/>
              </w:rPr>
              <w:t>Zgodność z R</w:t>
            </w:r>
            <w:r w:rsidR="00692EC7" w:rsidRPr="00692EC7">
              <w:rPr>
                <w:rFonts w:cs="Arial"/>
                <w:color w:val="000000" w:themeColor="text1"/>
                <w:sz w:val="24"/>
                <w:szCs w:val="24"/>
              </w:rPr>
              <w:t xml:space="preserve">egionalną </w:t>
            </w:r>
            <w:r w:rsidRPr="00692EC7">
              <w:rPr>
                <w:rFonts w:cs="Arial"/>
                <w:color w:val="000000" w:themeColor="text1"/>
                <w:sz w:val="24"/>
                <w:szCs w:val="24"/>
              </w:rPr>
              <w:t>P</w:t>
            </w:r>
            <w:r w:rsidR="00692EC7" w:rsidRPr="00692EC7">
              <w:rPr>
                <w:rFonts w:cs="Arial"/>
                <w:color w:val="000000" w:themeColor="text1"/>
                <w:sz w:val="24"/>
                <w:szCs w:val="24"/>
              </w:rPr>
              <w:t xml:space="preserve">olityką </w:t>
            </w:r>
            <w:r w:rsidRPr="00692EC7">
              <w:rPr>
                <w:rFonts w:cs="Arial"/>
                <w:color w:val="000000" w:themeColor="text1"/>
                <w:sz w:val="24"/>
                <w:szCs w:val="24"/>
              </w:rPr>
              <w:t>R</w:t>
            </w:r>
            <w:r w:rsidR="00692EC7" w:rsidRPr="00692EC7">
              <w:rPr>
                <w:rFonts w:cs="Arial"/>
                <w:color w:val="000000" w:themeColor="text1"/>
                <w:sz w:val="24"/>
                <w:szCs w:val="24"/>
              </w:rPr>
              <w:t>owerową</w:t>
            </w:r>
            <w:r w:rsidRPr="00692EC7">
              <w:rPr>
                <w:rFonts w:cs="Arial"/>
                <w:color w:val="000000" w:themeColor="text1"/>
                <w:sz w:val="24"/>
                <w:szCs w:val="24"/>
              </w:rPr>
              <w:t xml:space="preserve"> – jeżeli dotyczy</w:t>
            </w:r>
          </w:p>
        </w:tc>
        <w:tc>
          <w:tcPr>
            <w:tcW w:w="5596" w:type="dxa"/>
          </w:tcPr>
          <w:p w14:paraId="04710CEC" w14:textId="77777777" w:rsidR="009563B7" w:rsidRPr="009563B7" w:rsidRDefault="009563B7" w:rsidP="009563B7">
            <w:pPr>
              <w:spacing w:before="100" w:beforeAutospacing="1" w:after="100" w:afterAutospacing="1" w:line="240" w:lineRule="auto"/>
              <w:textAlignment w:val="baseline"/>
              <w:rPr>
                <w:rFonts w:eastAsia="Times New Roman" w:cs="Arial"/>
                <w:color w:val="000000" w:themeColor="text1"/>
                <w:sz w:val="24"/>
                <w:szCs w:val="24"/>
                <w:lang w:eastAsia="pl-PL"/>
              </w:rPr>
            </w:pPr>
            <w:r w:rsidRPr="009563B7">
              <w:rPr>
                <w:rFonts w:eastAsia="Times New Roman" w:cs="Arial"/>
                <w:color w:val="000000" w:themeColor="text1"/>
                <w:sz w:val="24"/>
                <w:szCs w:val="24"/>
                <w:lang w:eastAsia="pl-PL"/>
              </w:rPr>
              <w:t>Kryterium dotyczy, jeżeli zakres projektu obejmuje infrastrukturę rowerową realizowaną w ramach sieci regionalnych tras rowerowych.</w:t>
            </w:r>
          </w:p>
          <w:p w14:paraId="3F333081" w14:textId="00095F0E" w:rsidR="009563B7" w:rsidRPr="009563B7" w:rsidRDefault="009563B7" w:rsidP="009563B7">
            <w:pPr>
              <w:spacing w:before="100" w:beforeAutospacing="1" w:after="100" w:afterAutospacing="1"/>
              <w:textAlignment w:val="baseline"/>
              <w:rPr>
                <w:rFonts w:eastAsia="Times New Roman" w:cstheme="minorHAnsi"/>
                <w:sz w:val="24"/>
                <w:szCs w:val="24"/>
                <w:lang w:eastAsia="pl-PL"/>
              </w:rPr>
            </w:pPr>
            <w:r w:rsidRPr="009563B7">
              <w:rPr>
                <w:rFonts w:eastAsia="Times New Roman" w:cs="Arial"/>
                <w:color w:val="000000" w:themeColor="text1"/>
                <w:sz w:val="24"/>
                <w:szCs w:val="24"/>
                <w:lang w:eastAsia="pl-PL"/>
              </w:rPr>
              <w:t>Potwierdzeniem zgodności projektu z założeniami określonymi w dokumencie pn.: Regionalna Polityka Rowerowa Województwa Śląskiego wraz z planem sieci regionalnych tras rowerowych (wraz z uwzględnieniem ewentualnych rekomendowanych odstępstw w standardach wytyczania i budowania RTR) będzie pozytywna opinia Pełnomocnika Marszałka Województwa Śląskiego ds. polityki rowerowej Urzędu Marszałkowskiego Województwa Śląskiego, którą Wnioskodawca zobowiązany będzie dołączyć do wniosku o dofinansowanie.</w:t>
            </w:r>
          </w:p>
        </w:tc>
        <w:tc>
          <w:tcPr>
            <w:tcW w:w="2048" w:type="dxa"/>
          </w:tcPr>
          <w:p w14:paraId="7229FCF0" w14:textId="77777777" w:rsidR="009563B7" w:rsidRPr="009563B7" w:rsidRDefault="009563B7" w:rsidP="009563B7">
            <w:pPr>
              <w:spacing w:before="100" w:beforeAutospacing="1" w:after="100" w:afterAutospacing="1" w:line="240" w:lineRule="auto"/>
              <w:textAlignment w:val="baseline"/>
              <w:rPr>
                <w:rFonts w:eastAsia="Times New Roman" w:cs="Arial"/>
                <w:sz w:val="24"/>
                <w:szCs w:val="24"/>
                <w:lang w:eastAsia="pl-PL"/>
              </w:rPr>
            </w:pPr>
            <w:r w:rsidRPr="009563B7">
              <w:rPr>
                <w:rFonts w:eastAsia="Times New Roman" w:cs="Arial"/>
                <w:sz w:val="24"/>
                <w:szCs w:val="24"/>
                <w:lang w:eastAsia="pl-PL"/>
              </w:rPr>
              <w:t xml:space="preserve"> Tak </w:t>
            </w:r>
          </w:p>
          <w:p w14:paraId="4FD964FD" w14:textId="77777777" w:rsidR="009563B7" w:rsidRPr="009563B7" w:rsidRDefault="009563B7" w:rsidP="009563B7">
            <w:pPr>
              <w:spacing w:before="100" w:beforeAutospacing="1" w:after="100" w:afterAutospacing="1" w:line="240" w:lineRule="auto"/>
              <w:textAlignment w:val="baseline"/>
              <w:rPr>
                <w:rFonts w:eastAsia="Times New Roman" w:cs="Arial"/>
                <w:sz w:val="24"/>
                <w:szCs w:val="24"/>
                <w:lang w:eastAsia="pl-PL"/>
              </w:rPr>
            </w:pPr>
          </w:p>
          <w:p w14:paraId="29D8969D" w14:textId="6204119A" w:rsidR="009563B7" w:rsidRPr="009563B7" w:rsidRDefault="009563B7" w:rsidP="009563B7">
            <w:pPr>
              <w:spacing w:before="100" w:beforeAutospacing="1" w:after="100" w:afterAutospacing="1"/>
              <w:textAlignment w:val="baseline"/>
              <w:rPr>
                <w:rFonts w:eastAsia="Times New Roman" w:cstheme="minorHAnsi"/>
                <w:sz w:val="24"/>
                <w:szCs w:val="24"/>
                <w:lang w:eastAsia="pl-PL"/>
              </w:rPr>
            </w:pPr>
            <w:r w:rsidRPr="009563B7">
              <w:rPr>
                <w:rFonts w:cs="Arial"/>
                <w:sz w:val="24"/>
                <w:szCs w:val="24"/>
              </w:rPr>
              <w:t>Kryterium podlega uzupełnieniu</w:t>
            </w:r>
          </w:p>
        </w:tc>
        <w:tc>
          <w:tcPr>
            <w:tcW w:w="1762" w:type="dxa"/>
          </w:tcPr>
          <w:p w14:paraId="7516BF07" w14:textId="76460796" w:rsidR="009563B7" w:rsidRPr="009563B7" w:rsidRDefault="009563B7" w:rsidP="009563B7">
            <w:pPr>
              <w:spacing w:before="100" w:beforeAutospacing="1" w:after="100" w:afterAutospacing="1"/>
              <w:textAlignment w:val="baseline"/>
              <w:rPr>
                <w:rFonts w:eastAsia="Times New Roman" w:cstheme="minorHAnsi"/>
                <w:sz w:val="24"/>
                <w:szCs w:val="24"/>
                <w:lang w:eastAsia="pl-PL"/>
              </w:rPr>
            </w:pPr>
            <w:r w:rsidRPr="009563B7">
              <w:rPr>
                <w:rFonts w:eastAsia="Times New Roman" w:cs="Arial"/>
                <w:sz w:val="24"/>
                <w:szCs w:val="24"/>
                <w:lang w:eastAsia="pl-PL"/>
              </w:rPr>
              <w:t>0/1</w:t>
            </w:r>
          </w:p>
        </w:tc>
        <w:tc>
          <w:tcPr>
            <w:tcW w:w="1928" w:type="dxa"/>
          </w:tcPr>
          <w:p w14:paraId="04AB6004" w14:textId="505B433E" w:rsidR="009563B7" w:rsidRPr="009563B7" w:rsidRDefault="009563B7" w:rsidP="009563B7">
            <w:pPr>
              <w:spacing w:before="100" w:beforeAutospacing="1" w:after="100" w:afterAutospacing="1"/>
              <w:textAlignment w:val="baseline"/>
              <w:rPr>
                <w:rFonts w:eastAsia="Times New Roman" w:cstheme="minorHAnsi"/>
                <w:sz w:val="24"/>
                <w:szCs w:val="24"/>
                <w:lang w:eastAsia="pl-PL"/>
              </w:rPr>
            </w:pPr>
            <w:r w:rsidRPr="009563B7">
              <w:rPr>
                <w:rFonts w:eastAsia="Times New Roman" w:cs="Arial"/>
                <w:sz w:val="24"/>
                <w:szCs w:val="24"/>
                <w:lang w:eastAsia="pl-PL"/>
              </w:rPr>
              <w:t>Nie dotyczy</w:t>
            </w:r>
          </w:p>
        </w:tc>
      </w:tr>
      <w:tr w:rsidR="00517617" w:rsidRPr="00AF72EE" w14:paraId="575D162B" w14:textId="77777777" w:rsidTr="00550F22">
        <w:trPr>
          <w:trHeight w:val="300"/>
        </w:trPr>
        <w:tc>
          <w:tcPr>
            <w:tcW w:w="843" w:type="dxa"/>
          </w:tcPr>
          <w:p w14:paraId="345AAEF3" w14:textId="77777777" w:rsidR="00517617" w:rsidRPr="00517617" w:rsidRDefault="00517617" w:rsidP="00517617">
            <w:pPr>
              <w:pStyle w:val="Akapitzlist"/>
              <w:numPr>
                <w:ilvl w:val="0"/>
                <w:numId w:val="35"/>
              </w:numPr>
              <w:spacing w:before="100" w:beforeAutospacing="1" w:after="100" w:afterAutospacing="1"/>
              <w:textAlignment w:val="baseline"/>
              <w:rPr>
                <w:rFonts w:eastAsia="Times New Roman" w:cs="Arial"/>
                <w:color w:val="000000" w:themeColor="text1"/>
                <w:sz w:val="24"/>
                <w:szCs w:val="24"/>
                <w:lang w:eastAsia="pl-PL"/>
              </w:rPr>
            </w:pPr>
          </w:p>
        </w:tc>
        <w:tc>
          <w:tcPr>
            <w:tcW w:w="2419" w:type="dxa"/>
          </w:tcPr>
          <w:p w14:paraId="15F68103" w14:textId="1B526FD7"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 xml:space="preserve">Lokalizacja projektu na obszarach </w:t>
            </w:r>
            <w:r w:rsidRPr="00517617">
              <w:rPr>
                <w:rFonts w:eastAsia="Times New Roman" w:cs="Arial"/>
                <w:color w:val="000000" w:themeColor="text1"/>
                <w:sz w:val="24"/>
                <w:szCs w:val="24"/>
                <w:lang w:eastAsia="pl-PL"/>
              </w:rPr>
              <w:lastRenderedPageBreak/>
              <w:t>wdrażania Funduszu na rzecz Sprawiedliwej Transformacji</w:t>
            </w:r>
          </w:p>
        </w:tc>
        <w:tc>
          <w:tcPr>
            <w:tcW w:w="5596" w:type="dxa"/>
          </w:tcPr>
          <w:p w14:paraId="2CC016AC" w14:textId="449948FF" w:rsidR="00517617" w:rsidRPr="009563B7" w:rsidRDefault="00517617" w:rsidP="00517617">
            <w:pPr>
              <w:spacing w:before="100" w:beforeAutospacing="1" w:after="100" w:afterAutospacing="1" w:line="240" w:lineRule="auto"/>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lastRenderedPageBreak/>
              <w:t>Dopuszczalne są projekty, których miejsce realizacji to podregiony: katowicki, sosnowiecki, tyski, bytomski, gliwicki, rybnicki lub bielski.</w:t>
            </w:r>
          </w:p>
        </w:tc>
        <w:tc>
          <w:tcPr>
            <w:tcW w:w="2048" w:type="dxa"/>
          </w:tcPr>
          <w:p w14:paraId="479239D3" w14:textId="77777777" w:rsidR="00517617" w:rsidRPr="00517617" w:rsidRDefault="00517617" w:rsidP="00517617">
            <w:pPr>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Tak</w:t>
            </w:r>
          </w:p>
          <w:p w14:paraId="6032A25E" w14:textId="4FC12FAA" w:rsidR="00517617" w:rsidRPr="00517617" w:rsidRDefault="00517617" w:rsidP="00517617">
            <w:pPr>
              <w:spacing w:before="100" w:beforeAutospacing="1" w:after="100" w:afterAutospacing="1" w:line="240" w:lineRule="auto"/>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lastRenderedPageBreak/>
              <w:t>Kryterium podlega uzupełnieniu</w:t>
            </w:r>
          </w:p>
        </w:tc>
        <w:tc>
          <w:tcPr>
            <w:tcW w:w="1762" w:type="dxa"/>
          </w:tcPr>
          <w:p w14:paraId="118BE0D8" w14:textId="414E68B2"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lastRenderedPageBreak/>
              <w:t xml:space="preserve">0/1 </w:t>
            </w:r>
          </w:p>
        </w:tc>
        <w:tc>
          <w:tcPr>
            <w:tcW w:w="1928" w:type="dxa"/>
          </w:tcPr>
          <w:p w14:paraId="3E3D7923" w14:textId="781349A1"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Nie dotyczy</w:t>
            </w:r>
          </w:p>
        </w:tc>
      </w:tr>
      <w:tr w:rsidR="00517617" w:rsidRPr="00AF72EE" w14:paraId="2A7E591D" w14:textId="77777777" w:rsidTr="00550F22">
        <w:trPr>
          <w:trHeight w:val="300"/>
        </w:trPr>
        <w:tc>
          <w:tcPr>
            <w:tcW w:w="843" w:type="dxa"/>
          </w:tcPr>
          <w:p w14:paraId="25E20E06" w14:textId="77777777" w:rsidR="00517617" w:rsidRPr="00517617" w:rsidRDefault="00517617" w:rsidP="00517617">
            <w:pPr>
              <w:pStyle w:val="Akapitzlist"/>
              <w:numPr>
                <w:ilvl w:val="0"/>
                <w:numId w:val="35"/>
              </w:numPr>
              <w:spacing w:before="100" w:beforeAutospacing="1" w:after="100" w:afterAutospacing="1"/>
              <w:textAlignment w:val="baseline"/>
              <w:rPr>
                <w:rFonts w:eastAsia="Times New Roman" w:cs="Arial"/>
                <w:color w:val="000000" w:themeColor="text1"/>
                <w:sz w:val="24"/>
                <w:szCs w:val="24"/>
                <w:lang w:eastAsia="pl-PL"/>
              </w:rPr>
            </w:pPr>
          </w:p>
        </w:tc>
        <w:tc>
          <w:tcPr>
            <w:tcW w:w="2419" w:type="dxa"/>
          </w:tcPr>
          <w:p w14:paraId="6C40C1F0" w14:textId="16FCA4F2"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Zgodność projektu z Rozporządzeniem 2021/1056 oraz Terytorialnym Planem Sprawiedliwej Transformacji </w:t>
            </w:r>
          </w:p>
        </w:tc>
        <w:tc>
          <w:tcPr>
            <w:tcW w:w="5596" w:type="dxa"/>
          </w:tcPr>
          <w:p w14:paraId="0B5CF227" w14:textId="75508A56" w:rsidR="00517617" w:rsidRPr="009563B7" w:rsidRDefault="00517617" w:rsidP="00517617">
            <w:pPr>
              <w:spacing w:before="100" w:beforeAutospacing="1" w:after="100" w:afterAutospacing="1" w:line="240" w:lineRule="auto"/>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 </w:t>
            </w:r>
          </w:p>
        </w:tc>
        <w:tc>
          <w:tcPr>
            <w:tcW w:w="2048" w:type="dxa"/>
          </w:tcPr>
          <w:p w14:paraId="2DD80ED0" w14:textId="77777777"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Tak </w:t>
            </w:r>
          </w:p>
          <w:p w14:paraId="54BD07EB" w14:textId="77777777" w:rsidR="00517617" w:rsidRPr="00517617" w:rsidRDefault="00517617" w:rsidP="00517617">
            <w:pPr>
              <w:spacing w:beforeAutospacing="1" w:afterAutospacing="1"/>
              <w:rPr>
                <w:rFonts w:eastAsia="Times New Roman" w:cs="Arial"/>
                <w:color w:val="000000" w:themeColor="text1"/>
                <w:sz w:val="24"/>
                <w:szCs w:val="24"/>
                <w:lang w:eastAsia="pl-PL"/>
              </w:rPr>
            </w:pPr>
          </w:p>
          <w:p w14:paraId="07C26D41" w14:textId="72E5B1B6" w:rsidR="00517617" w:rsidRPr="00517617" w:rsidRDefault="00517617" w:rsidP="00517617">
            <w:pPr>
              <w:spacing w:before="100" w:beforeAutospacing="1" w:after="100" w:afterAutospacing="1" w:line="240" w:lineRule="auto"/>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Kryterium podlega uzupełnieniu </w:t>
            </w:r>
          </w:p>
        </w:tc>
        <w:tc>
          <w:tcPr>
            <w:tcW w:w="1762" w:type="dxa"/>
          </w:tcPr>
          <w:p w14:paraId="48E61B19" w14:textId="70DF902B"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0/1 </w:t>
            </w:r>
          </w:p>
        </w:tc>
        <w:tc>
          <w:tcPr>
            <w:tcW w:w="1928" w:type="dxa"/>
          </w:tcPr>
          <w:p w14:paraId="3EAA68AC" w14:textId="4BAAC7F8" w:rsidR="00517617" w:rsidRPr="00517617" w:rsidRDefault="00517617" w:rsidP="00517617">
            <w:pPr>
              <w:spacing w:before="100" w:beforeAutospacing="1" w:after="100" w:afterAutospacing="1"/>
              <w:textAlignment w:val="baseline"/>
              <w:rPr>
                <w:rFonts w:eastAsia="Times New Roman" w:cs="Arial"/>
                <w:color w:val="000000" w:themeColor="text1"/>
                <w:sz w:val="24"/>
                <w:szCs w:val="24"/>
                <w:lang w:eastAsia="pl-PL"/>
              </w:rPr>
            </w:pPr>
            <w:r w:rsidRPr="00517617">
              <w:rPr>
                <w:rFonts w:eastAsia="Times New Roman" w:cs="Arial"/>
                <w:color w:val="000000" w:themeColor="text1"/>
                <w:sz w:val="24"/>
                <w:szCs w:val="24"/>
                <w:lang w:eastAsia="pl-PL"/>
              </w:rPr>
              <w:t>Nie dotyczy </w:t>
            </w:r>
          </w:p>
        </w:tc>
      </w:tr>
    </w:tbl>
    <w:p w14:paraId="2CA71389" w14:textId="77777777" w:rsidR="00AD097C" w:rsidRDefault="00BE1CDC" w:rsidP="00FA5B86">
      <w:pPr>
        <w:rPr>
          <w:rFonts w:ascii="Arial" w:hAnsi="Arial" w:cs="Arial"/>
          <w:b/>
        </w:rPr>
      </w:pPr>
      <w:r>
        <w:rPr>
          <w:rFonts w:ascii="Arial" w:hAnsi="Arial" w:cs="Arial"/>
          <w:b/>
        </w:rPr>
        <w:br w:type="page"/>
      </w:r>
    </w:p>
    <w:p w14:paraId="4A2AE19B" w14:textId="1C5884A0" w:rsidR="004B0DD6" w:rsidRDefault="00AD097C" w:rsidP="00AD097C">
      <w:pPr>
        <w:keepNext/>
        <w:keepLines/>
        <w:spacing w:before="480" w:after="240"/>
        <w:outlineLvl w:val="0"/>
        <w:rPr>
          <w:rFonts w:cstheme="minorHAnsi"/>
          <w:b/>
          <w:sz w:val="24"/>
          <w:szCs w:val="24"/>
        </w:rPr>
      </w:pPr>
      <w:r w:rsidRPr="00AD097C">
        <w:rPr>
          <w:rFonts w:asciiTheme="minorHAnsi" w:eastAsiaTheme="majorEastAsia" w:hAnsiTheme="minorHAnsi" w:cstheme="majorBidi"/>
          <w:b/>
          <w:sz w:val="24"/>
          <w:szCs w:val="32"/>
        </w:rPr>
        <w:lastRenderedPageBreak/>
        <w:t xml:space="preserve">Tabela </w:t>
      </w:r>
      <w:r>
        <w:rPr>
          <w:rFonts w:asciiTheme="minorHAnsi" w:eastAsiaTheme="majorEastAsia" w:hAnsiTheme="minorHAnsi" w:cstheme="majorBidi"/>
          <w:b/>
          <w:sz w:val="24"/>
          <w:szCs w:val="32"/>
        </w:rPr>
        <w:t>3</w:t>
      </w:r>
      <w:r w:rsidRPr="00AD097C">
        <w:rPr>
          <w:rFonts w:asciiTheme="minorHAnsi" w:eastAsiaTheme="majorEastAsia" w:hAnsiTheme="minorHAnsi" w:cstheme="majorBidi"/>
          <w:b/>
          <w:sz w:val="24"/>
          <w:szCs w:val="32"/>
        </w:rPr>
        <w:t xml:space="preserve">. </w:t>
      </w:r>
      <w:r w:rsidRPr="00C82663">
        <w:rPr>
          <w:rFonts w:cstheme="minorHAnsi"/>
          <w:b/>
          <w:sz w:val="24"/>
          <w:szCs w:val="24"/>
        </w:rPr>
        <w:t>Kryteria merytoryczne ogólne</w:t>
      </w:r>
    </w:p>
    <w:tbl>
      <w:tblPr>
        <w:tblStyle w:val="Tabela-Siatka3"/>
        <w:tblW w:w="14601" w:type="dxa"/>
        <w:tblInd w:w="137" w:type="dxa"/>
        <w:tblLayout w:type="fixed"/>
        <w:tblLook w:val="04A0" w:firstRow="1" w:lastRow="0" w:firstColumn="1" w:lastColumn="0" w:noHBand="0" w:noVBand="1"/>
        <w:tblCaption w:val="Kryteria merytoryczne ogólne"/>
        <w:tblDescription w:val="Tabela 3. Zestawienie kryteriów merytorycznych ogólnych dla Działania FE SL 03.01- ZIT."/>
      </w:tblPr>
      <w:tblGrid>
        <w:gridCol w:w="851"/>
        <w:gridCol w:w="2670"/>
        <w:gridCol w:w="5126"/>
        <w:gridCol w:w="2127"/>
        <w:gridCol w:w="2126"/>
        <w:gridCol w:w="1701"/>
      </w:tblGrid>
      <w:tr w:rsidR="004B0DD6" w:rsidRPr="00303F00" w14:paraId="67F522DA" w14:textId="77777777" w:rsidTr="7982C1AB">
        <w:trPr>
          <w:trHeight w:val="300"/>
          <w:tblHeader/>
        </w:trPr>
        <w:tc>
          <w:tcPr>
            <w:tcW w:w="851" w:type="dxa"/>
            <w:shd w:val="clear" w:color="auto" w:fill="A6A6A6" w:themeFill="background1" w:themeFillShade="A6"/>
            <w:hideMark/>
          </w:tcPr>
          <w:p w14:paraId="634877D0" w14:textId="0C34C8CA" w:rsidR="004B0DD6" w:rsidRPr="00303F00" w:rsidRDefault="004B0DD6" w:rsidP="005A2783">
            <w:pPr>
              <w:pStyle w:val="Akapitzlist"/>
              <w:ind w:left="22"/>
              <w:rPr>
                <w:rFonts w:cstheme="minorHAnsi"/>
                <w:b/>
                <w:sz w:val="24"/>
                <w:szCs w:val="24"/>
              </w:rPr>
            </w:pPr>
            <w:bookmarkStart w:id="7" w:name="_Hlk132111821"/>
            <w:r w:rsidRPr="00303F00">
              <w:rPr>
                <w:rFonts w:cstheme="minorHAnsi"/>
                <w:b/>
                <w:sz w:val="24"/>
                <w:szCs w:val="24"/>
              </w:rPr>
              <w:t>L.p</w:t>
            </w:r>
            <w:r w:rsidR="00F91253">
              <w:rPr>
                <w:rFonts w:cstheme="minorHAnsi"/>
                <w:b/>
                <w:sz w:val="24"/>
                <w:szCs w:val="24"/>
              </w:rPr>
              <w:t xml:space="preserve"> </w:t>
            </w:r>
          </w:p>
        </w:tc>
        <w:tc>
          <w:tcPr>
            <w:tcW w:w="2670" w:type="dxa"/>
            <w:shd w:val="clear" w:color="auto" w:fill="A6A6A6" w:themeFill="background1" w:themeFillShade="A6"/>
            <w:hideMark/>
          </w:tcPr>
          <w:p w14:paraId="6E293F6D" w14:textId="77777777" w:rsidR="004B0DD6" w:rsidRPr="00303F00" w:rsidRDefault="004B0DD6" w:rsidP="005A2783">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3F7322C5" w14:textId="77777777" w:rsidR="004B0DD6" w:rsidRPr="00303F00" w:rsidRDefault="004B0DD6" w:rsidP="005A2783">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3F09C83E" w14:textId="77777777" w:rsidR="004B0DD6" w:rsidRPr="00303F00" w:rsidRDefault="004B0DD6" w:rsidP="005A2783">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7553C2D8" w14:textId="77777777" w:rsidR="004B0DD6" w:rsidRPr="00303F00" w:rsidRDefault="004B0DD6" w:rsidP="005A2783">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2966CDE2" w14:textId="77777777" w:rsidR="004B0DD6" w:rsidRPr="00303F00" w:rsidRDefault="004B0DD6" w:rsidP="005A2783">
            <w:pPr>
              <w:rPr>
                <w:rFonts w:cstheme="minorHAnsi"/>
                <w:b/>
                <w:sz w:val="24"/>
                <w:szCs w:val="24"/>
              </w:rPr>
            </w:pPr>
            <w:r w:rsidRPr="00303F00">
              <w:rPr>
                <w:rFonts w:cstheme="minorHAnsi"/>
                <w:b/>
                <w:sz w:val="24"/>
                <w:szCs w:val="24"/>
              </w:rPr>
              <w:t>Szczególne znaczenie kryterium</w:t>
            </w:r>
          </w:p>
        </w:tc>
      </w:tr>
      <w:tr w:rsidR="004B0DD6" w:rsidRPr="00303F00" w14:paraId="5D0E2F25" w14:textId="77777777" w:rsidTr="7982C1AB">
        <w:trPr>
          <w:trHeight w:val="300"/>
        </w:trPr>
        <w:tc>
          <w:tcPr>
            <w:tcW w:w="851" w:type="dxa"/>
            <w:hideMark/>
          </w:tcPr>
          <w:p w14:paraId="4246F789"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w:t>
            </w:r>
          </w:p>
        </w:tc>
        <w:tc>
          <w:tcPr>
            <w:tcW w:w="2670" w:type="dxa"/>
            <w:hideMark/>
          </w:tcPr>
          <w:p w14:paraId="379323A7" w14:textId="24B31508"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Właściwie przeprowadzona analiza finansowa i ekonomiczna</w:t>
            </w:r>
          </w:p>
        </w:tc>
        <w:tc>
          <w:tcPr>
            <w:tcW w:w="5126" w:type="dxa"/>
            <w:hideMark/>
          </w:tcPr>
          <w:p w14:paraId="22CB923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76B41114"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75001DB4"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w:t>
            </w:r>
            <w:r w:rsidRPr="00303F00">
              <w:rPr>
                <w:rFonts w:eastAsia="Times New Roman" w:cstheme="minorHAnsi"/>
                <w:sz w:val="24"/>
                <w:szCs w:val="24"/>
                <w:lang w:eastAsia="pl-PL"/>
              </w:rPr>
              <w:lastRenderedPageBreak/>
              <w:t>podlega, czy opis ten potwierdza zasadność poniesienia nakładów odtworzeniowych;</w:t>
            </w:r>
          </w:p>
          <w:p w14:paraId="208082E5"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D2A5272"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uwzględnienie w analizie ekonomicznej uwarunkowań rynkowych branży oraz </w:t>
            </w:r>
            <w:r w:rsidRPr="00303F00">
              <w:rPr>
                <w:rFonts w:eastAsia="Times New Roman" w:cstheme="minorHAnsi"/>
                <w:sz w:val="24"/>
                <w:szCs w:val="24"/>
                <w:lang w:eastAsia="pl-PL"/>
              </w:rPr>
              <w:lastRenderedPageBreak/>
              <w:t>specyfikę projektu, opierając się o wszystkie istotne środowiskowe, gospodarcze i społeczne efekty.</w:t>
            </w:r>
          </w:p>
          <w:p w14:paraId="5BA9D5A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Badanie analizy finansowej i ekonomicznej ma miejsce na etapie oceny projektu na podstawie założeń wskazanych przez wnioskodawcę.</w:t>
            </w:r>
          </w:p>
        </w:tc>
        <w:tc>
          <w:tcPr>
            <w:tcW w:w="2127" w:type="dxa"/>
            <w:hideMark/>
          </w:tcPr>
          <w:p w14:paraId="1D76336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A9F823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453328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76C52D0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55CEE77"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303F00">
              <w:rPr>
                <w:rFonts w:eastAsia="Times New Roman" w:cstheme="minorHAnsi"/>
                <w:sz w:val="24"/>
                <w:szCs w:val="24"/>
                <w:lang w:eastAsia="pl-PL"/>
              </w:rPr>
              <w:lastRenderedPageBreak/>
              <w:t>projektu i inne parametry projektu, dla których parametry finansowe i ekonomiczne są istotne.</w:t>
            </w:r>
          </w:p>
          <w:p w14:paraId="5934F005"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EE8D0C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analiza finansowa i ekonomiczna przeprowadzona niewłaściwie. W takiej sytuacji ma miejsce negatywna ocena </w:t>
            </w:r>
            <w:r w:rsidRPr="00303F00">
              <w:rPr>
                <w:rFonts w:eastAsia="Times New Roman" w:cstheme="minorHAnsi"/>
                <w:sz w:val="24"/>
                <w:szCs w:val="24"/>
                <w:lang w:eastAsia="pl-PL"/>
              </w:rPr>
              <w:lastRenderedPageBreak/>
              <w:t>merytoryczna projektu.</w:t>
            </w:r>
          </w:p>
          <w:p w14:paraId="249E176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5FF5356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39B66D4C" w14:textId="77777777" w:rsidTr="7982C1AB">
        <w:trPr>
          <w:trHeight w:val="300"/>
        </w:trPr>
        <w:tc>
          <w:tcPr>
            <w:tcW w:w="851" w:type="dxa"/>
            <w:hideMark/>
          </w:tcPr>
          <w:p w14:paraId="043374E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4518D9A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65628853" w14:textId="46C5E2D8"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1014BBE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Opis sposobu weryfikacji kryterium:</w:t>
            </w:r>
          </w:p>
          <w:p w14:paraId="06789DE1" w14:textId="616FE025" w:rsidR="004B0DD6" w:rsidRPr="00303F00" w:rsidRDefault="004B0DD6" w:rsidP="7982C1AB">
            <w:pPr>
              <w:spacing w:before="100" w:beforeAutospacing="1" w:after="100" w:afterAutospacing="1"/>
              <w:textAlignment w:val="baseline"/>
            </w:pPr>
            <w:r w:rsidRPr="7982C1AB">
              <w:rPr>
                <w:rFonts w:eastAsia="Times New Roman"/>
                <w:sz w:val="24"/>
                <w:szCs w:val="24"/>
                <w:lang w:eastAsia="pl-PL"/>
              </w:rPr>
              <w:lastRenderedPageBreak/>
              <w:t>1.</w:t>
            </w:r>
            <w:r>
              <w:tab/>
            </w:r>
            <w:r w:rsidRPr="7982C1AB">
              <w:rPr>
                <w:rFonts w:eastAsia="Times New Roman"/>
                <w:sz w:val="24"/>
                <w:szCs w:val="24"/>
                <w:lang w:eastAsia="pl-PL"/>
              </w:rPr>
              <w:t>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5C4D6CDF"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w:t>
            </w:r>
            <w:r w:rsidRPr="68B89AB4">
              <w:rPr>
                <w:rFonts w:eastAsia="Times New Roman"/>
                <w:sz w:val="24"/>
                <w:szCs w:val="24"/>
                <w:lang w:eastAsia="pl-PL"/>
              </w:rPr>
              <w:lastRenderedPageBreak/>
              <w:t>publiczną. Ekspert bazując na doświadczeniu i wiedzy merytorycznej w zakresie ocenianego obszaru, dokonuje weryfikacji czy odstępstwo od w/w zasady jest uzasadnione.</w:t>
            </w:r>
          </w:p>
          <w:p w14:paraId="21568054"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0E85DDC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 formule grantowej/parasolowej – działanie 2.6, 10.6</w:t>
            </w:r>
          </w:p>
          <w:p w14:paraId="4099C4CE"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dla klimatu – działanie 2.8, 2.9</w:t>
            </w:r>
          </w:p>
          <w:p w14:paraId="661FDE70"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Wzmocnienie potencjału służb ratowniczych – działanie 2.10</w:t>
            </w:r>
          </w:p>
          <w:p w14:paraId="6FA5531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Ochrona przyrody i bioróżnorodność – działanie 2.14, 2.15</w:t>
            </w:r>
          </w:p>
          <w:p w14:paraId="3471827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Rekultywacja terenów zdegradowanych – działanie 2.16, 10.7</w:t>
            </w:r>
          </w:p>
          <w:p w14:paraId="01A77C8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Regionalne Trasy Rowerowe – działanie 3.3</w:t>
            </w:r>
          </w:p>
          <w:p w14:paraId="11612AB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wojewódzkie – działanie 4.1</w:t>
            </w:r>
          </w:p>
          <w:p w14:paraId="57AFDED5"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powiatowe i gminne – działanie 4.2</w:t>
            </w:r>
          </w:p>
          <w:p w14:paraId="11047380"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Szkolnictwo zawodowe prowadzone przez powiaty bądź na zlecenie powiatów – w ramach działania 8.3, 10.14</w:t>
            </w:r>
          </w:p>
          <w:p w14:paraId="72CFB6AF"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E-zdrowie – działanie 8.5</w:t>
            </w:r>
          </w:p>
          <w:p w14:paraId="25A058D4"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Infrastruktura ochrony zdrowia – działanie 8.6</w:t>
            </w:r>
          </w:p>
          <w:p w14:paraId="137C7D3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planowania transformacji – działanie 10.10</w:t>
            </w:r>
          </w:p>
          <w:p w14:paraId="29DD0D76"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205A373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lastRenderedPageBreak/>
              <w:t>3.</w:t>
            </w:r>
            <w:r>
              <w:tab/>
            </w:r>
            <w:r w:rsidRPr="68B89AB4">
              <w:rPr>
                <w:rFonts w:eastAsia="Times New Roman"/>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4005208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Badanie efektywności inwestycji ma miejsce na etapie oceny projektu na podstawie założeń wskazanych przez wnioskodawcę. Zmiany w projektach dokonywane są na etapie realizacji </w:t>
            </w:r>
            <w:r w:rsidRPr="68B89AB4">
              <w:rPr>
                <w:rFonts w:eastAsia="Times New Roman"/>
                <w:sz w:val="24"/>
                <w:szCs w:val="24"/>
                <w:lang w:eastAsia="pl-PL"/>
              </w:rPr>
              <w:lastRenderedPageBreak/>
              <w:t>projektu zgodnie z postanowieniami umowy o dofinansowanie.</w:t>
            </w:r>
          </w:p>
        </w:tc>
        <w:tc>
          <w:tcPr>
            <w:tcW w:w="2127" w:type="dxa"/>
            <w:hideMark/>
          </w:tcPr>
          <w:p w14:paraId="1FBDDC4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B90FB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39DFEC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1F451EA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B0DD6" w:rsidRPr="00303F00" w14:paraId="5963A2C5" w14:textId="77777777" w:rsidTr="7982C1AB">
        <w:trPr>
          <w:trHeight w:val="1335"/>
        </w:trPr>
        <w:tc>
          <w:tcPr>
            <w:tcW w:w="851" w:type="dxa"/>
            <w:hideMark/>
          </w:tcPr>
          <w:p w14:paraId="268BDB05"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5E5E238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5C870F7F" w14:textId="77777777"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446A603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Opis sposobu weryfikacji kryterium:</w:t>
            </w:r>
          </w:p>
          <w:p w14:paraId="3FF9F91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1.</w:t>
            </w:r>
            <w:r>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w:t>
            </w:r>
            <w:r w:rsidRPr="68B89AB4">
              <w:rPr>
                <w:rFonts w:eastAsia="Times New Roman"/>
                <w:sz w:val="24"/>
                <w:szCs w:val="24"/>
                <w:lang w:eastAsia="pl-PL"/>
              </w:rPr>
              <w:lastRenderedPageBreak/>
              <w:t>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3D5E2C2"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w:t>
            </w:r>
            <w:r w:rsidRPr="68B89AB4">
              <w:rPr>
                <w:rFonts w:eastAsia="Times New Roman"/>
                <w:sz w:val="24"/>
                <w:szCs w:val="24"/>
                <w:lang w:eastAsia="pl-PL"/>
              </w:rPr>
              <w:lastRenderedPageBreak/>
              <w:t>przepływy pieniężne netto nie są ujemne we wszystkich latach analizy.</w:t>
            </w:r>
          </w:p>
          <w:p w14:paraId="6F6932E5"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w:t>
            </w:r>
          </w:p>
          <w:p w14:paraId="31D2764D"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w:t>
            </w:r>
            <w:r w:rsidRPr="68B89AB4">
              <w:rPr>
                <w:rFonts w:eastAsia="Times New Roman"/>
                <w:sz w:val="24"/>
                <w:szCs w:val="24"/>
                <w:lang w:eastAsia="pl-PL"/>
              </w:rPr>
              <w:lastRenderedPageBreak/>
              <w:t>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2112C3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17DABF7C"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4.</w:t>
            </w:r>
            <w:r>
              <w:tab/>
            </w:r>
            <w:r w:rsidRPr="68B89AB4">
              <w:rPr>
                <w:rFonts w:eastAsia="Times New Roman"/>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w:t>
            </w:r>
            <w:r w:rsidRPr="68B89AB4">
              <w:rPr>
                <w:rFonts w:eastAsia="Times New Roman"/>
                <w:sz w:val="24"/>
                <w:szCs w:val="24"/>
                <w:lang w:eastAsia="pl-PL"/>
              </w:rPr>
              <w:lastRenderedPageBreak/>
              <w:t>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DF0A8D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54898A0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B80430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297FDE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5BF4F7D0" w14:textId="30EB28E7"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Uznaje się, iż w projekcie o całkowitym koszcie kwalifikowanym poniżej 50 mln zł, deklaracja jednostki samorządu terytorialnego (oraz ich związków i stowarzyszeń oraz jednostek w których JST ma ponad 50% udziałów lub akcji) </w:t>
            </w:r>
            <w:r w:rsidRPr="68B89AB4">
              <w:rPr>
                <w:rFonts w:eastAsia="Times New Roman"/>
                <w:sz w:val="24"/>
                <w:szCs w:val="24"/>
                <w:lang w:eastAsia="pl-PL"/>
              </w:rPr>
              <w:lastRenderedPageBreak/>
              <w:t>o zapewnieniu finansowania ze środków budżetowych dla utrzymania trwałości finansowej projektu jest wystarczająca w tym zakresie.</w:t>
            </w:r>
          </w:p>
        </w:tc>
        <w:tc>
          <w:tcPr>
            <w:tcW w:w="1701" w:type="dxa"/>
            <w:hideMark/>
          </w:tcPr>
          <w:p w14:paraId="5FD3BF6D"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24C72DFF" w14:textId="77777777" w:rsidTr="7982C1AB">
        <w:trPr>
          <w:trHeight w:val="300"/>
        </w:trPr>
        <w:tc>
          <w:tcPr>
            <w:tcW w:w="851" w:type="dxa"/>
            <w:hideMark/>
          </w:tcPr>
          <w:p w14:paraId="5E68482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61A562F9"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0D2E3FE"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5581529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wskaźnik jest prawidłowy (zastosowano prawidłowe wyliczenia, czy jednostka miary jest prawidłowa).</w:t>
            </w:r>
          </w:p>
          <w:p w14:paraId="5D49C04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7162F6DA"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7CA501D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61440CF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Brak możliwości uzupełnienia kryterium</w:t>
            </w:r>
            <w:r>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0AB134D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p w14:paraId="4B4429C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ocena pozytywna:</w:t>
            </w:r>
          </w:p>
          <w:p w14:paraId="11031701"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potwierdzenia prawidłowości wskaźników i metodologii oraz w przypadku błędów/braków, które nie przeszkadzają ustalić prawidłowej wartości wskaźników.</w:t>
            </w:r>
          </w:p>
          <w:p w14:paraId="3E9629D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1CF60CA"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Wartości wskaźników </w:t>
            </w:r>
            <w:r w:rsidRPr="00303F00">
              <w:rPr>
                <w:rFonts w:eastAsia="Times New Roman" w:cstheme="minorHAnsi"/>
                <w:sz w:val="24"/>
                <w:szCs w:val="24"/>
                <w:lang w:eastAsia="pl-PL"/>
              </w:rPr>
              <w:lastRenderedPageBreak/>
              <w:t>określone</w:t>
            </w:r>
            <w:r>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2BC0F6C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bl>
    <w:bookmarkEnd w:id="7"/>
    <w:p w14:paraId="1959E0AB" w14:textId="7AE58CB3" w:rsidR="00BE1CDC" w:rsidRPr="00C82663" w:rsidRDefault="004B0DD6" w:rsidP="004B0DD6">
      <w:pPr>
        <w:keepNext/>
        <w:keepLines/>
        <w:spacing w:before="480" w:after="240"/>
        <w:outlineLvl w:val="0"/>
        <w:rPr>
          <w:rFonts w:asciiTheme="minorHAnsi" w:hAnsiTheme="minorHAnsi" w:cstheme="minorHAnsi"/>
          <w:b/>
          <w:sz w:val="24"/>
          <w:szCs w:val="24"/>
        </w:rPr>
      </w:pPr>
      <w:r w:rsidRPr="004B0DD6">
        <w:rPr>
          <w:rFonts w:asciiTheme="minorHAnsi" w:eastAsiaTheme="majorEastAsia" w:hAnsiTheme="minorHAnsi" w:cstheme="majorBidi"/>
          <w:b/>
          <w:sz w:val="24"/>
          <w:szCs w:val="32"/>
        </w:rPr>
        <w:lastRenderedPageBreak/>
        <w:t>Tabela 4. Kryteria merytoryczne specyficzne</w:t>
      </w:r>
      <w:r>
        <w:rPr>
          <w:rFonts w:asciiTheme="minorHAnsi" w:eastAsiaTheme="majorEastAsia" w:hAnsiTheme="minorHAnsi" w:cstheme="majorBidi"/>
          <w:b/>
          <w:sz w:val="24"/>
          <w:szCs w:val="32"/>
        </w:rPr>
        <w:t xml:space="preserve"> </w:t>
      </w:r>
      <w:r w:rsidR="00BE1CDC" w:rsidRPr="00C82663">
        <w:rPr>
          <w:rFonts w:asciiTheme="minorHAnsi" w:hAnsiTheme="minorHAnsi" w:cstheme="minorHAnsi"/>
          <w:b/>
          <w:sz w:val="24"/>
          <w:szCs w:val="24"/>
        </w:rPr>
        <w:t>0/1</w:t>
      </w:r>
    </w:p>
    <w:tbl>
      <w:tblPr>
        <w:tblStyle w:val="Tabela-Siatka"/>
        <w:tblW w:w="14312" w:type="dxa"/>
        <w:tblLayout w:type="fixed"/>
        <w:tblLook w:val="04A0" w:firstRow="1" w:lastRow="0" w:firstColumn="1" w:lastColumn="0" w:noHBand="0" w:noVBand="1"/>
        <w:tblCaption w:val="Kryteria merytoryczne specyficzne zerojedynkowe"/>
        <w:tblDescription w:val="Tabela 4. Zestawienie kryteriów merytorycznych specyficznych zerojedynkowych dla Działania FE SL 03.01 - ZIT"/>
      </w:tblPr>
      <w:tblGrid>
        <w:gridCol w:w="866"/>
        <w:gridCol w:w="2422"/>
        <w:gridCol w:w="5658"/>
        <w:gridCol w:w="1964"/>
        <w:gridCol w:w="1843"/>
        <w:gridCol w:w="1559"/>
      </w:tblGrid>
      <w:tr w:rsidR="00661B13" w:rsidRPr="00AF72EE" w14:paraId="4ED51277" w14:textId="77777777" w:rsidTr="73FA99DC">
        <w:trPr>
          <w:trHeight w:val="300"/>
          <w:tblHeader/>
        </w:trPr>
        <w:tc>
          <w:tcPr>
            <w:tcW w:w="866" w:type="dxa"/>
            <w:shd w:val="clear" w:color="auto" w:fill="A6A6A6" w:themeFill="background1" w:themeFillShade="A6"/>
            <w:hideMark/>
          </w:tcPr>
          <w:p w14:paraId="280CC0A3" w14:textId="05295DA5"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22" w:type="dxa"/>
            <w:shd w:val="clear" w:color="auto" w:fill="A6A6A6" w:themeFill="background1" w:themeFillShade="A6"/>
            <w:hideMark/>
          </w:tcPr>
          <w:p w14:paraId="0C46EFC1" w14:textId="7FAA7CAE"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658" w:type="dxa"/>
            <w:shd w:val="clear" w:color="auto" w:fill="A6A6A6" w:themeFill="background1" w:themeFillShade="A6"/>
            <w:hideMark/>
          </w:tcPr>
          <w:p w14:paraId="7BB5C8DE" w14:textId="603ADD46"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1964" w:type="dxa"/>
            <w:shd w:val="clear" w:color="auto" w:fill="A6A6A6" w:themeFill="background1" w:themeFillShade="A6"/>
            <w:hideMark/>
          </w:tcPr>
          <w:p w14:paraId="07E7DFD1" w14:textId="542EF6F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65820F71" w14:textId="186CE304"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559" w:type="dxa"/>
            <w:shd w:val="clear" w:color="auto" w:fill="A6A6A6" w:themeFill="background1" w:themeFillShade="A6"/>
            <w:hideMark/>
          </w:tcPr>
          <w:p w14:paraId="49975CEF" w14:textId="580E9FDD"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5F6F1B" w:rsidRPr="00F91258" w14:paraId="051D8105" w14:textId="77777777" w:rsidTr="73FA99DC">
        <w:trPr>
          <w:trHeight w:val="300"/>
        </w:trPr>
        <w:tc>
          <w:tcPr>
            <w:tcW w:w="866" w:type="dxa"/>
            <w:hideMark/>
          </w:tcPr>
          <w:p w14:paraId="5F3250AC" w14:textId="36227D4B" w:rsidR="005F6F1B" w:rsidRPr="00F91258" w:rsidRDefault="005F6F1B" w:rsidP="005F6F1B">
            <w:pPr>
              <w:numPr>
                <w:ilvl w:val="0"/>
                <w:numId w:val="20"/>
              </w:numPr>
              <w:spacing w:before="100" w:beforeAutospacing="1" w:after="0"/>
              <w:textAlignment w:val="baseline"/>
              <w:rPr>
                <w:rFonts w:eastAsia="Times New Roman" w:cstheme="minorHAnsi"/>
                <w:sz w:val="24"/>
                <w:szCs w:val="24"/>
                <w:lang w:eastAsia="pl-PL"/>
              </w:rPr>
            </w:pPr>
          </w:p>
        </w:tc>
        <w:tc>
          <w:tcPr>
            <w:tcW w:w="2422" w:type="dxa"/>
            <w:hideMark/>
          </w:tcPr>
          <w:p w14:paraId="284DB07A" w14:textId="2181A9C7"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Wpływ projektu na rozwój zrównoważonego transportu miejskiego (jeżeli dotyczy).</w:t>
            </w:r>
          </w:p>
        </w:tc>
        <w:tc>
          <w:tcPr>
            <w:tcW w:w="5658" w:type="dxa"/>
            <w:hideMark/>
          </w:tcPr>
          <w:p w14:paraId="5F7B18D2" w14:textId="6E009EC8"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Projekt nie obejmuje inwestycji w infrastrukturę drogową, przeznaczoną dla pojazdów samochodowych innych niż użytkowanych w transporcie publicznym (wymóg nie dotyczy parkingów park&amp;ride).</w:t>
            </w:r>
          </w:p>
        </w:tc>
        <w:tc>
          <w:tcPr>
            <w:tcW w:w="1964" w:type="dxa"/>
            <w:hideMark/>
          </w:tcPr>
          <w:p w14:paraId="0C7A552D"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Tak</w:t>
            </w:r>
          </w:p>
          <w:p w14:paraId="4C225F30"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36FBABA9" w14:textId="5DAA84FC"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Brak możliwości uzupełnienia kryterium</w:t>
            </w:r>
          </w:p>
        </w:tc>
        <w:tc>
          <w:tcPr>
            <w:tcW w:w="1843" w:type="dxa"/>
            <w:hideMark/>
          </w:tcPr>
          <w:p w14:paraId="6BA6632D"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0/1</w:t>
            </w:r>
          </w:p>
          <w:p w14:paraId="27D00B63" w14:textId="71BC9B80" w:rsidR="005F6F1B" w:rsidRPr="00F91258" w:rsidRDefault="005F6F1B" w:rsidP="005F6F1B">
            <w:pPr>
              <w:spacing w:before="100" w:beforeAutospacing="1" w:after="0"/>
              <w:textAlignment w:val="baseline"/>
              <w:rPr>
                <w:rFonts w:eastAsia="Times New Roman" w:cstheme="minorHAnsi"/>
                <w:sz w:val="24"/>
                <w:szCs w:val="24"/>
                <w:lang w:eastAsia="pl-PL"/>
              </w:rPr>
            </w:pPr>
          </w:p>
        </w:tc>
        <w:tc>
          <w:tcPr>
            <w:tcW w:w="1559" w:type="dxa"/>
            <w:hideMark/>
          </w:tcPr>
          <w:p w14:paraId="164B95DB"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Nie dotyczy </w:t>
            </w:r>
          </w:p>
          <w:p w14:paraId="1FD9E471" w14:textId="6937A1EB" w:rsidR="005F6F1B" w:rsidRPr="00F91258" w:rsidRDefault="005F6F1B" w:rsidP="005F6F1B">
            <w:pPr>
              <w:spacing w:before="100" w:beforeAutospacing="1" w:after="0"/>
              <w:textAlignment w:val="baseline"/>
              <w:rPr>
                <w:rFonts w:eastAsia="Times New Roman" w:cstheme="minorHAnsi"/>
                <w:sz w:val="24"/>
                <w:szCs w:val="24"/>
                <w:lang w:eastAsia="pl-PL"/>
              </w:rPr>
            </w:pPr>
          </w:p>
        </w:tc>
      </w:tr>
      <w:tr w:rsidR="005F6F1B" w:rsidRPr="00F91258" w14:paraId="3E77BA11" w14:textId="77777777" w:rsidTr="73FA99DC">
        <w:trPr>
          <w:trHeight w:val="300"/>
        </w:trPr>
        <w:tc>
          <w:tcPr>
            <w:tcW w:w="866" w:type="dxa"/>
          </w:tcPr>
          <w:p w14:paraId="57EB589C" w14:textId="77777777" w:rsidR="005F6F1B" w:rsidRPr="00F91258" w:rsidRDefault="005F6F1B" w:rsidP="005F6F1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AB3308F" w14:textId="54D804D8"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 xml:space="preserve">Zgodność projektu realizowanego na obszarze miejskim z właściwym Planem Zrównoważonej Mobilności Miejskiej </w:t>
            </w:r>
            <w:r w:rsidR="00561FAB">
              <w:rPr>
                <w:rFonts w:eastAsia="Times New Roman" w:cs="Arial"/>
                <w:sz w:val="24"/>
                <w:szCs w:val="24"/>
                <w:lang w:eastAsia="pl-PL"/>
              </w:rPr>
              <w:t xml:space="preserve">(dalej SUMP) </w:t>
            </w:r>
            <w:r w:rsidRPr="00EC5BCA">
              <w:rPr>
                <w:rFonts w:eastAsia="Times New Roman" w:cs="Arial"/>
                <w:sz w:val="24"/>
                <w:szCs w:val="24"/>
                <w:lang w:eastAsia="pl-PL"/>
              </w:rPr>
              <w:t>lub z innymi właściwymi dokumentami</w:t>
            </w:r>
            <w:r w:rsidR="00DF3E8E">
              <w:rPr>
                <w:rFonts w:eastAsia="Times New Roman" w:cs="Arial"/>
                <w:sz w:val="24"/>
                <w:szCs w:val="24"/>
                <w:lang w:eastAsia="pl-PL"/>
              </w:rPr>
              <w:t>.</w:t>
            </w:r>
            <w:r w:rsidRPr="00EC5BCA">
              <w:rPr>
                <w:rFonts w:eastAsia="Times New Roman" w:cs="Arial"/>
                <w:sz w:val="24"/>
                <w:szCs w:val="24"/>
                <w:lang w:eastAsia="pl-PL"/>
              </w:rPr>
              <w:t xml:space="preserve"> </w:t>
            </w:r>
            <w:r w:rsidRPr="00EC5BCA">
              <w:rPr>
                <w:rFonts w:eastAsia="Times New Roman" w:cs="Arial"/>
                <w:sz w:val="24"/>
                <w:szCs w:val="24"/>
                <w:lang w:eastAsia="pl-PL"/>
              </w:rPr>
              <w:lastRenderedPageBreak/>
              <w:t>planowania mobilności miejskiej.</w:t>
            </w:r>
          </w:p>
        </w:tc>
        <w:tc>
          <w:tcPr>
            <w:tcW w:w="5658" w:type="dxa"/>
          </w:tcPr>
          <w:p w14:paraId="5013D24B" w14:textId="77777777" w:rsidR="005F6F1B" w:rsidRPr="00EC5BCA" w:rsidRDefault="005F6F1B" w:rsidP="005F6F1B">
            <w:pPr>
              <w:spacing w:before="100" w:beforeAutospacing="1" w:after="100" w:afterAutospacing="1" w:line="240" w:lineRule="auto"/>
              <w:textAlignment w:val="baseline"/>
              <w:rPr>
                <w:rFonts w:eastAsia="Times New Roman"/>
                <w:sz w:val="24"/>
                <w:szCs w:val="24"/>
                <w:lang w:eastAsia="pl-PL"/>
              </w:rPr>
            </w:pPr>
            <w:r w:rsidRPr="00EC5BCA">
              <w:rPr>
                <w:rFonts w:eastAsia="Times New Roman" w:cs="Arial"/>
                <w:sz w:val="24"/>
                <w:szCs w:val="24"/>
                <w:lang w:eastAsia="pl-PL"/>
              </w:rPr>
              <w:lastRenderedPageBreak/>
              <w:t>W ramach oceny należy zweryfikować, czy wykazano we wniosku o dofinansowanie zgodność projektu realizowanego na obszarze miejskim z właściwym Planem Zrównoważonej Mobilności Miejskiej przygotowanym zgodnie z wymogami programu, a jeśli nie jest on wymagany – z innymi właściwymi dokumentami planowania mobilności miejskiej, jeśli zostały one przygotowane dla danego obszaru miejskiego i obowiązują w chwili ogłoszenia naboru. </w:t>
            </w:r>
          </w:p>
          <w:p w14:paraId="475AE0A0" w14:textId="23775759" w:rsidR="005F6F1B" w:rsidRPr="0039483B"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 xml:space="preserve">Spójność z SUMP lub innymi planami mobilności miejskiej należy rozpatrywać przez brak sprzeczności z </w:t>
            </w:r>
            <w:r w:rsidRPr="00EC5BCA">
              <w:rPr>
                <w:rFonts w:eastAsia="Times New Roman" w:cs="Arial"/>
                <w:sz w:val="24"/>
                <w:szCs w:val="24"/>
                <w:lang w:eastAsia="pl-PL"/>
              </w:rPr>
              <w:lastRenderedPageBreak/>
              <w:t>postanowieniami obowiązującego na moment ogłoszenia naboru wniosków planu, ani też nie podważa celów tego planu i nie koliduje z innymi działaniami podejmowanymi na jego podstawie (nie jest natomiast wymagane bezpośrednie wskazanie danej inwestycji w planie). </w:t>
            </w:r>
          </w:p>
        </w:tc>
        <w:tc>
          <w:tcPr>
            <w:tcW w:w="1964" w:type="dxa"/>
          </w:tcPr>
          <w:p w14:paraId="2EE53F5D"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lastRenderedPageBreak/>
              <w:t> Tak</w:t>
            </w:r>
          </w:p>
          <w:p w14:paraId="2BBC96AC"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137D610E" w14:textId="7CED0DB0"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Brak możliwości uzupełnienia kryterium</w:t>
            </w:r>
          </w:p>
        </w:tc>
        <w:tc>
          <w:tcPr>
            <w:tcW w:w="1843" w:type="dxa"/>
          </w:tcPr>
          <w:p w14:paraId="1941CF51"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0CBB1E36"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0/1</w:t>
            </w:r>
          </w:p>
          <w:p w14:paraId="0182B18C"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0DE1F69E"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30BECC10"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 </w:t>
            </w:r>
          </w:p>
          <w:p w14:paraId="4C0120B7" w14:textId="2D330489" w:rsidR="005F6F1B" w:rsidRPr="00F91258" w:rsidRDefault="005F6F1B" w:rsidP="005F6F1B">
            <w:pPr>
              <w:spacing w:before="100" w:beforeAutospacing="1" w:after="0"/>
              <w:textAlignment w:val="baseline"/>
              <w:rPr>
                <w:rFonts w:eastAsia="Times New Roman" w:cstheme="minorHAnsi"/>
                <w:sz w:val="24"/>
                <w:szCs w:val="24"/>
                <w:lang w:eastAsia="pl-PL"/>
              </w:rPr>
            </w:pPr>
          </w:p>
        </w:tc>
        <w:tc>
          <w:tcPr>
            <w:tcW w:w="1559" w:type="dxa"/>
          </w:tcPr>
          <w:p w14:paraId="09C5D3A8"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Nie dotyczy </w:t>
            </w:r>
          </w:p>
          <w:p w14:paraId="54222F26" w14:textId="22A75DCA" w:rsidR="005F6F1B" w:rsidRPr="00F91258" w:rsidRDefault="005F6F1B" w:rsidP="005F6F1B">
            <w:pPr>
              <w:spacing w:before="100" w:beforeAutospacing="1" w:after="0"/>
              <w:textAlignment w:val="baseline"/>
              <w:rPr>
                <w:rFonts w:eastAsia="Times New Roman" w:cstheme="minorHAnsi"/>
                <w:sz w:val="24"/>
                <w:szCs w:val="24"/>
                <w:lang w:eastAsia="pl-PL"/>
              </w:rPr>
            </w:pPr>
          </w:p>
        </w:tc>
      </w:tr>
      <w:tr w:rsidR="005F6F1B" w:rsidRPr="00F91258" w14:paraId="49F4ECD9" w14:textId="77777777" w:rsidTr="73FA99DC">
        <w:trPr>
          <w:trHeight w:val="233"/>
        </w:trPr>
        <w:tc>
          <w:tcPr>
            <w:tcW w:w="866" w:type="dxa"/>
          </w:tcPr>
          <w:p w14:paraId="775423A8" w14:textId="77777777" w:rsidR="005F6F1B" w:rsidRPr="00F91258" w:rsidRDefault="005F6F1B" w:rsidP="005F6F1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1E8DA0A" w14:textId="3FB06BA4"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Style w:val="normaltextrun"/>
                <w:rFonts w:cs="Arial"/>
                <w:sz w:val="24"/>
                <w:szCs w:val="24"/>
              </w:rPr>
              <w:t>Uwzględnienie bezpieczeństwa niechronionych uczestników ruchu (jeżeli dotyczy).</w:t>
            </w:r>
          </w:p>
        </w:tc>
        <w:tc>
          <w:tcPr>
            <w:tcW w:w="5658" w:type="dxa"/>
          </w:tcPr>
          <w:p w14:paraId="1B7EE569" w14:textId="77777777" w:rsidR="005F6F1B" w:rsidRPr="00EC5BCA" w:rsidRDefault="005F6F1B" w:rsidP="005F6F1B">
            <w:pPr>
              <w:spacing w:before="100" w:beforeAutospacing="1" w:after="100" w:afterAutospacing="1" w:line="240" w:lineRule="auto"/>
              <w:textAlignment w:val="baseline"/>
              <w:rPr>
                <w:rStyle w:val="eop"/>
                <w:rFonts w:cs="Arial"/>
                <w:sz w:val="24"/>
                <w:szCs w:val="24"/>
              </w:rPr>
            </w:pPr>
            <w:r w:rsidRPr="00EC5BCA">
              <w:rPr>
                <w:rStyle w:val="normaltextrun"/>
                <w:rFonts w:cs="Arial"/>
                <w:sz w:val="24"/>
                <w:szCs w:val="24"/>
              </w:rPr>
              <w:t>W ramach kryterium weryfikowane będzie, czy projekt zakłada rozwiązania poprawiające bezpieczeństwo, w szczególności na rzecz niezmotoryzowanych uczestników ruchu (w tym kobiet).</w:t>
            </w:r>
            <w:r w:rsidRPr="00EC5BCA">
              <w:rPr>
                <w:sz w:val="24"/>
                <w:szCs w:val="24"/>
              </w:rPr>
              <w:br/>
            </w:r>
            <w:r w:rsidRPr="00EC5BCA">
              <w:rPr>
                <w:rStyle w:val="normaltextrun"/>
                <w:rFonts w:cs="Arial"/>
                <w:sz w:val="24"/>
                <w:szCs w:val="24"/>
              </w:rPr>
              <w:t> </w:t>
            </w:r>
            <w:r w:rsidRPr="00EC5BCA">
              <w:rPr>
                <w:rStyle w:val="eop"/>
                <w:rFonts w:cs="Arial"/>
                <w:sz w:val="24"/>
                <w:szCs w:val="24"/>
              </w:rPr>
              <w:t> </w:t>
            </w:r>
          </w:p>
          <w:p w14:paraId="0D01B523" w14:textId="6E33A005" w:rsidR="005F6F1B" w:rsidRPr="008B2ED1"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 xml:space="preserve">Jeżeli w ramach przedmiotu projektu nie są możliwe do zastosowania tego typu rozwiązania, to ocenie podlega przedstawione uzasadnienie w tej sprawie.  </w:t>
            </w:r>
          </w:p>
        </w:tc>
        <w:tc>
          <w:tcPr>
            <w:tcW w:w="1964" w:type="dxa"/>
          </w:tcPr>
          <w:p w14:paraId="7960BDBC" w14:textId="77777777" w:rsidR="005F6F1B" w:rsidRPr="00EC5BCA" w:rsidRDefault="005F6F1B" w:rsidP="005F6F1B">
            <w:pPr>
              <w:pStyle w:val="paragraph"/>
              <w:textAlignment w:val="baseline"/>
              <w:rPr>
                <w:rFonts w:asciiTheme="minorHAnsi" w:hAnsiTheme="minorHAnsi"/>
              </w:rPr>
            </w:pPr>
            <w:r w:rsidRPr="00EC5BCA">
              <w:rPr>
                <w:rStyle w:val="normaltextrun"/>
                <w:rFonts w:asciiTheme="minorHAnsi" w:hAnsiTheme="minorHAnsi" w:cs="Arial"/>
              </w:rPr>
              <w:t>Tak</w:t>
            </w:r>
            <w:r w:rsidRPr="00EC5BCA">
              <w:rPr>
                <w:rStyle w:val="eop"/>
                <w:rFonts w:asciiTheme="minorHAnsi" w:hAnsiTheme="minorHAnsi" w:cs="Arial"/>
              </w:rPr>
              <w:t> </w:t>
            </w:r>
          </w:p>
          <w:p w14:paraId="0F5BD4D4" w14:textId="77777777" w:rsidR="005F6F1B" w:rsidRPr="00EC5BCA" w:rsidRDefault="005F6F1B" w:rsidP="005F6F1B">
            <w:pPr>
              <w:pStyle w:val="paragraph"/>
              <w:textAlignment w:val="baseline"/>
              <w:rPr>
                <w:rFonts w:asciiTheme="minorHAnsi" w:hAnsiTheme="minorHAnsi"/>
              </w:rPr>
            </w:pPr>
            <w:r w:rsidRPr="00EC5BCA">
              <w:rPr>
                <w:rStyle w:val="eop"/>
                <w:rFonts w:asciiTheme="minorHAnsi" w:hAnsiTheme="minorHAnsi" w:cs="Arial"/>
              </w:rPr>
              <w:t> </w:t>
            </w:r>
          </w:p>
          <w:p w14:paraId="158EAACD" w14:textId="5100827C"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Style w:val="normaltextrun"/>
                <w:rFonts w:cs="Arial"/>
                <w:sz w:val="24"/>
                <w:szCs w:val="24"/>
              </w:rPr>
              <w:t>Brak możliwości uzupełnienia kryterium</w:t>
            </w:r>
            <w:r w:rsidRPr="00EC5BCA">
              <w:rPr>
                <w:rStyle w:val="eop"/>
                <w:rFonts w:cs="Arial"/>
                <w:sz w:val="24"/>
                <w:szCs w:val="24"/>
              </w:rPr>
              <w:t> </w:t>
            </w:r>
          </w:p>
        </w:tc>
        <w:tc>
          <w:tcPr>
            <w:tcW w:w="1843" w:type="dxa"/>
          </w:tcPr>
          <w:p w14:paraId="1D3B3EF6" w14:textId="1922690F"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Style w:val="normaltextrun"/>
                <w:rFonts w:cs="Arial"/>
                <w:sz w:val="24"/>
                <w:szCs w:val="24"/>
              </w:rPr>
              <w:t>0/1</w:t>
            </w:r>
            <w:r w:rsidRPr="00EC5BCA">
              <w:rPr>
                <w:rStyle w:val="eop"/>
                <w:rFonts w:cs="Arial"/>
                <w:sz w:val="24"/>
                <w:szCs w:val="24"/>
              </w:rPr>
              <w:t> </w:t>
            </w:r>
          </w:p>
        </w:tc>
        <w:tc>
          <w:tcPr>
            <w:tcW w:w="1559" w:type="dxa"/>
          </w:tcPr>
          <w:p w14:paraId="04EB1799" w14:textId="24D3F116"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Style w:val="normaltextrun"/>
                <w:rFonts w:cs="Arial"/>
                <w:sz w:val="24"/>
                <w:szCs w:val="24"/>
              </w:rPr>
              <w:t>Nie dotyczy </w:t>
            </w:r>
            <w:r w:rsidRPr="00EC5BCA">
              <w:rPr>
                <w:rStyle w:val="eop"/>
                <w:rFonts w:cs="Arial"/>
                <w:sz w:val="24"/>
                <w:szCs w:val="24"/>
              </w:rPr>
              <w:t> </w:t>
            </w:r>
          </w:p>
        </w:tc>
      </w:tr>
      <w:tr w:rsidR="005F6F1B" w:rsidRPr="00F91258" w14:paraId="37780AFB" w14:textId="77777777" w:rsidTr="73FA99DC">
        <w:trPr>
          <w:trHeight w:val="233"/>
        </w:trPr>
        <w:tc>
          <w:tcPr>
            <w:tcW w:w="866" w:type="dxa"/>
          </w:tcPr>
          <w:p w14:paraId="2BA7FFC4" w14:textId="77777777" w:rsidR="005F6F1B" w:rsidRPr="00F91258" w:rsidRDefault="005F6F1B" w:rsidP="005F6F1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1D4A62A" w14:textId="770827A8" w:rsidR="005F6F1B" w:rsidRPr="00EC5BCA" w:rsidRDefault="005F6F1B" w:rsidP="73FA99DC">
            <w:pPr>
              <w:spacing w:before="100" w:beforeAutospacing="1" w:after="100" w:afterAutospacing="1" w:line="240" w:lineRule="auto"/>
              <w:textAlignment w:val="baseline"/>
              <w:rPr>
                <w:rFonts w:eastAsia="Times New Roman" w:cs="Arial"/>
                <w:sz w:val="24"/>
                <w:szCs w:val="24"/>
                <w:lang w:eastAsia="pl-PL"/>
              </w:rPr>
            </w:pPr>
            <w:r w:rsidRPr="73FA99DC">
              <w:rPr>
                <w:rFonts w:eastAsia="Times New Roman" w:cs="Arial"/>
                <w:sz w:val="24"/>
                <w:szCs w:val="24"/>
                <w:lang w:eastAsia="pl-PL"/>
              </w:rPr>
              <w:t>Zgodność projektu z programem ochrony powietrza oraz SEAP</w:t>
            </w:r>
            <w:r w:rsidR="052918F0" w:rsidRPr="73FA99DC">
              <w:rPr>
                <w:rFonts w:eastAsia="Times New Roman" w:cs="Arial"/>
                <w:sz w:val="24"/>
                <w:szCs w:val="24"/>
                <w:lang w:eastAsia="pl-PL"/>
              </w:rPr>
              <w:t>/ SECAP</w:t>
            </w:r>
            <w:r w:rsidRPr="73FA99DC">
              <w:rPr>
                <w:rFonts w:eastAsia="Times New Roman" w:cs="Arial"/>
                <w:sz w:val="24"/>
                <w:szCs w:val="24"/>
                <w:lang w:eastAsia="pl-PL"/>
              </w:rPr>
              <w:t>.</w:t>
            </w:r>
          </w:p>
          <w:p w14:paraId="670BD3CC" w14:textId="77777777" w:rsidR="005F6F1B" w:rsidRPr="00F91258" w:rsidRDefault="005F6F1B" w:rsidP="005F6F1B">
            <w:pPr>
              <w:spacing w:before="100" w:beforeAutospacing="1" w:after="0"/>
              <w:textAlignment w:val="baseline"/>
              <w:rPr>
                <w:rFonts w:eastAsia="Times New Roman" w:cstheme="minorHAnsi"/>
                <w:sz w:val="24"/>
                <w:szCs w:val="24"/>
                <w:lang w:eastAsia="pl-PL"/>
              </w:rPr>
            </w:pPr>
          </w:p>
        </w:tc>
        <w:tc>
          <w:tcPr>
            <w:tcW w:w="5658" w:type="dxa"/>
          </w:tcPr>
          <w:p w14:paraId="05F79CE9" w14:textId="4817B25E" w:rsidR="005F6F1B" w:rsidRPr="00EC5BCA" w:rsidRDefault="005F6F1B" w:rsidP="3EFD2EF6">
            <w:pPr>
              <w:spacing w:before="100" w:beforeAutospacing="1" w:after="100" w:afterAutospacing="1" w:line="240" w:lineRule="auto"/>
              <w:textAlignment w:val="baseline"/>
              <w:rPr>
                <w:rFonts w:eastAsia="Times New Roman" w:cs="Arial"/>
                <w:sz w:val="24"/>
                <w:szCs w:val="24"/>
                <w:lang w:eastAsia="pl-PL"/>
              </w:rPr>
            </w:pPr>
            <w:r w:rsidRPr="3EFD2EF6">
              <w:rPr>
                <w:rFonts w:eastAsia="Times New Roman" w:cs="Arial"/>
                <w:sz w:val="24"/>
                <w:szCs w:val="24"/>
                <w:lang w:eastAsia="pl-PL"/>
              </w:rPr>
              <w:lastRenderedPageBreak/>
              <w:t>Inwestycja jest zgodna z właściwymi Programami ochrony powietrza oraz Planami na rzecz zrównoważonej energii i klimatu (SEAP)</w:t>
            </w:r>
            <w:r w:rsidR="25D92AB0" w:rsidRPr="3EFD2EF6">
              <w:rPr>
                <w:rFonts w:eastAsia="Times New Roman" w:cs="Arial"/>
                <w:sz w:val="24"/>
                <w:szCs w:val="24"/>
                <w:lang w:eastAsia="pl-PL"/>
              </w:rPr>
              <w:t>/SECAP</w:t>
            </w:r>
            <w:r w:rsidRPr="3EFD2EF6">
              <w:rPr>
                <w:rFonts w:eastAsia="Times New Roman" w:cs="Arial"/>
                <w:sz w:val="24"/>
                <w:szCs w:val="24"/>
                <w:lang w:eastAsia="pl-PL"/>
              </w:rPr>
              <w:t xml:space="preserve"> – jeżeli dane miasto przyjęło takie plany.</w:t>
            </w:r>
          </w:p>
          <w:p w14:paraId="4BC931E5" w14:textId="074B4FAB" w:rsidR="005F6F1B" w:rsidRPr="008B2ED1" w:rsidRDefault="005F6F1B" w:rsidP="005F6F1B">
            <w:pPr>
              <w:spacing w:before="100" w:beforeAutospacing="1" w:after="0"/>
              <w:textAlignment w:val="baseline"/>
              <w:rPr>
                <w:rStyle w:val="normaltextrun"/>
                <w:rFonts w:cstheme="minorHAnsi"/>
                <w:color w:val="000000"/>
                <w:sz w:val="24"/>
                <w:szCs w:val="24"/>
                <w:shd w:val="clear" w:color="auto" w:fill="FFFFFF"/>
              </w:rPr>
            </w:pPr>
            <w:r w:rsidRPr="00EC5BCA">
              <w:rPr>
                <w:rFonts w:eastAsia="Arial" w:cs="Arial"/>
                <w:color w:val="000000" w:themeColor="text1"/>
                <w:sz w:val="24"/>
                <w:szCs w:val="24"/>
              </w:rPr>
              <w:lastRenderedPageBreak/>
              <w:t>Spójność z przedmiotowymi dokumentami należy rozpatrywać przez brak sprzeczności z postanowieniami obowiązującego na moment ogłoszenia naboru wniosków programu i planu oraz poprzez niepodważanie przez projekt celów tych dokumentów i niekolidowanie projektu z innymi działaniami podejmowanymi na ich podstawie (nie jest natomiast wymagane bezpośrednie wskazanie danej inwestycji we wskazanych dokumentach).</w:t>
            </w:r>
          </w:p>
        </w:tc>
        <w:tc>
          <w:tcPr>
            <w:tcW w:w="1964" w:type="dxa"/>
          </w:tcPr>
          <w:p w14:paraId="6F3C0F5C"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lastRenderedPageBreak/>
              <w:t>Tak</w:t>
            </w:r>
          </w:p>
          <w:p w14:paraId="6E263E1F"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008BF08B" w14:textId="4C2A1549"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lastRenderedPageBreak/>
              <w:t>Brak możliwości uzupełnienia kryterium</w:t>
            </w:r>
          </w:p>
        </w:tc>
        <w:tc>
          <w:tcPr>
            <w:tcW w:w="1843" w:type="dxa"/>
          </w:tcPr>
          <w:p w14:paraId="1397A984" w14:textId="057F6C43" w:rsidR="005F6F1B" w:rsidRPr="00F91258" w:rsidRDefault="005F6F1B" w:rsidP="005F6F1B">
            <w:pPr>
              <w:spacing w:before="100" w:beforeAutospacing="1" w:after="0"/>
              <w:textAlignment w:val="baseline"/>
              <w:rPr>
                <w:rFonts w:cstheme="minorHAnsi"/>
                <w:sz w:val="24"/>
                <w:szCs w:val="24"/>
              </w:rPr>
            </w:pPr>
            <w:r w:rsidRPr="00EC5BCA">
              <w:rPr>
                <w:rFonts w:eastAsia="Times New Roman" w:cs="Arial"/>
                <w:sz w:val="24"/>
                <w:szCs w:val="24"/>
                <w:lang w:eastAsia="pl-PL"/>
              </w:rPr>
              <w:lastRenderedPageBreak/>
              <w:t>0/1</w:t>
            </w:r>
          </w:p>
        </w:tc>
        <w:tc>
          <w:tcPr>
            <w:tcW w:w="1559" w:type="dxa"/>
          </w:tcPr>
          <w:p w14:paraId="0468F88C"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 xml:space="preserve">Nie dotyczy </w:t>
            </w:r>
          </w:p>
          <w:p w14:paraId="3C4ED617" w14:textId="77777777" w:rsidR="005F6F1B" w:rsidRPr="00F91258" w:rsidRDefault="005F6F1B" w:rsidP="005F6F1B">
            <w:pPr>
              <w:spacing w:before="100" w:beforeAutospacing="1" w:after="0"/>
              <w:textAlignment w:val="baseline"/>
              <w:rPr>
                <w:rFonts w:cstheme="minorHAnsi"/>
                <w:sz w:val="24"/>
                <w:szCs w:val="24"/>
              </w:rPr>
            </w:pPr>
          </w:p>
        </w:tc>
      </w:tr>
      <w:tr w:rsidR="005F6F1B" w:rsidRPr="00F91258" w14:paraId="23976D06" w14:textId="77777777" w:rsidTr="73FA99DC">
        <w:trPr>
          <w:trHeight w:val="233"/>
        </w:trPr>
        <w:tc>
          <w:tcPr>
            <w:tcW w:w="866" w:type="dxa"/>
          </w:tcPr>
          <w:p w14:paraId="2388A933" w14:textId="77777777" w:rsidR="005F6F1B" w:rsidRPr="00F91258" w:rsidRDefault="005F6F1B" w:rsidP="005F6F1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4CCFD428" w14:textId="4A13BACC"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Wpływ projektu transportowego na podregiony górnicze.</w:t>
            </w:r>
          </w:p>
        </w:tc>
        <w:tc>
          <w:tcPr>
            <w:tcW w:w="5658" w:type="dxa"/>
          </w:tcPr>
          <w:p w14:paraId="5C0AD912" w14:textId="54CE410C" w:rsidR="005F6F1B" w:rsidRPr="00787016" w:rsidRDefault="005F6F1B" w:rsidP="00787016">
            <w:pPr>
              <w:spacing w:before="100" w:beforeAutospacing="1" w:after="100" w:afterAutospacing="1" w:line="240" w:lineRule="auto"/>
              <w:textAlignment w:val="baseline"/>
              <w:rPr>
                <w:rStyle w:val="normaltextrun"/>
                <w:rFonts w:eastAsia="Times New Roman" w:cs="Arial"/>
                <w:sz w:val="24"/>
                <w:szCs w:val="24"/>
                <w:lang w:eastAsia="pl-PL"/>
              </w:rPr>
            </w:pPr>
            <w:r w:rsidRPr="00EC5BCA">
              <w:rPr>
                <w:rFonts w:eastAsia="Times New Roman" w:cs="Arial"/>
                <w:sz w:val="24"/>
                <w:szCs w:val="24"/>
                <w:lang w:eastAsia="pl-PL"/>
              </w:rPr>
              <w:t xml:space="preserve">Ocenie podlega, czy planowane do realizacji przedsięwzięcie pozytywnie wpływa na powiązanie transportowe z centrami rozwoju podregionów górniczych oraz promocję ekologicznego i zeroemisyjnego transportu, co przyczyni się do zwiększenia dostępności do lokalnych rynków pracy dla grup objętych i obciążonych procesem transformacji regionu. </w:t>
            </w:r>
          </w:p>
        </w:tc>
        <w:tc>
          <w:tcPr>
            <w:tcW w:w="1964" w:type="dxa"/>
          </w:tcPr>
          <w:p w14:paraId="7C87E4EB"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r w:rsidRPr="00EC5BCA">
              <w:rPr>
                <w:rFonts w:eastAsia="Times New Roman" w:cs="Arial"/>
                <w:sz w:val="24"/>
                <w:szCs w:val="24"/>
                <w:lang w:eastAsia="pl-PL"/>
              </w:rPr>
              <w:t>Tak</w:t>
            </w:r>
          </w:p>
          <w:p w14:paraId="0465FF10" w14:textId="77777777" w:rsidR="005F6F1B" w:rsidRPr="00EC5BCA" w:rsidRDefault="005F6F1B" w:rsidP="005F6F1B">
            <w:pPr>
              <w:spacing w:before="100" w:beforeAutospacing="1" w:after="100" w:afterAutospacing="1" w:line="240" w:lineRule="auto"/>
              <w:textAlignment w:val="baseline"/>
              <w:rPr>
                <w:rFonts w:eastAsia="Times New Roman" w:cs="Arial"/>
                <w:sz w:val="24"/>
                <w:szCs w:val="24"/>
                <w:lang w:eastAsia="pl-PL"/>
              </w:rPr>
            </w:pPr>
          </w:p>
          <w:p w14:paraId="27367FE0" w14:textId="57F6CDAC" w:rsidR="005F6F1B" w:rsidRPr="00F91258" w:rsidRDefault="005F6F1B" w:rsidP="005F6F1B">
            <w:pPr>
              <w:spacing w:before="100" w:beforeAutospacing="1" w:after="0"/>
              <w:textAlignment w:val="baseline"/>
              <w:rPr>
                <w:rFonts w:eastAsia="Times New Roman" w:cstheme="minorHAnsi"/>
                <w:sz w:val="24"/>
                <w:szCs w:val="24"/>
                <w:lang w:eastAsia="pl-PL"/>
              </w:rPr>
            </w:pPr>
            <w:r w:rsidRPr="00EC5BCA">
              <w:rPr>
                <w:rFonts w:eastAsia="Times New Roman" w:cs="Arial"/>
                <w:sz w:val="24"/>
                <w:szCs w:val="24"/>
                <w:lang w:eastAsia="pl-PL"/>
              </w:rPr>
              <w:t>Brak możliwości uzupełnienia kryterium</w:t>
            </w:r>
          </w:p>
        </w:tc>
        <w:tc>
          <w:tcPr>
            <w:tcW w:w="1843" w:type="dxa"/>
          </w:tcPr>
          <w:p w14:paraId="70D48346" w14:textId="323D168D" w:rsidR="005F6F1B" w:rsidRPr="00F91258" w:rsidRDefault="005F6F1B" w:rsidP="005F6F1B">
            <w:pPr>
              <w:spacing w:before="100" w:beforeAutospacing="1" w:after="0"/>
              <w:textAlignment w:val="baseline"/>
              <w:rPr>
                <w:rFonts w:cstheme="minorHAnsi"/>
                <w:sz w:val="24"/>
                <w:szCs w:val="24"/>
              </w:rPr>
            </w:pPr>
            <w:r w:rsidRPr="00EC5BCA">
              <w:rPr>
                <w:rFonts w:cs="Arial"/>
                <w:sz w:val="24"/>
                <w:szCs w:val="24"/>
              </w:rPr>
              <w:t>0/1</w:t>
            </w:r>
          </w:p>
        </w:tc>
        <w:tc>
          <w:tcPr>
            <w:tcW w:w="1559" w:type="dxa"/>
          </w:tcPr>
          <w:p w14:paraId="23BCF889" w14:textId="6C96FB9B" w:rsidR="005F6F1B" w:rsidRPr="00F91258" w:rsidRDefault="005F6F1B" w:rsidP="005F6F1B">
            <w:pPr>
              <w:spacing w:before="100" w:beforeAutospacing="1" w:after="0"/>
              <w:textAlignment w:val="baseline"/>
              <w:rPr>
                <w:rFonts w:cstheme="minorHAnsi"/>
                <w:sz w:val="24"/>
                <w:szCs w:val="24"/>
              </w:rPr>
            </w:pPr>
            <w:r w:rsidRPr="00EC5BCA">
              <w:rPr>
                <w:rFonts w:cs="Arial"/>
                <w:sz w:val="24"/>
                <w:szCs w:val="24"/>
              </w:rPr>
              <w:t xml:space="preserve">Nie dotyczy </w:t>
            </w:r>
          </w:p>
        </w:tc>
      </w:tr>
    </w:tbl>
    <w:p w14:paraId="7CA5F2EC" w14:textId="18108D71" w:rsidR="00254207" w:rsidRPr="000275CA" w:rsidRDefault="00254207" w:rsidP="005F6F1B">
      <w:pPr>
        <w:keepNext/>
        <w:keepLines/>
        <w:spacing w:before="480" w:after="240"/>
        <w:outlineLvl w:val="0"/>
        <w:rPr>
          <w:rFonts w:asciiTheme="minorHAnsi" w:hAnsiTheme="minorHAnsi" w:cstheme="minorHAnsi"/>
          <w:sz w:val="24"/>
          <w:szCs w:val="24"/>
        </w:rPr>
      </w:pPr>
    </w:p>
    <w:sectPr w:rsidR="00254207" w:rsidRPr="000275CA" w:rsidSect="00AB5D95">
      <w:footerReference w:type="default" r:id="rId14"/>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A235" w14:textId="77777777" w:rsidR="001F4F73" w:rsidRDefault="001F4F73" w:rsidP="009029B5">
      <w:pPr>
        <w:spacing w:after="0" w:line="240" w:lineRule="auto"/>
      </w:pPr>
      <w:r>
        <w:separator/>
      </w:r>
    </w:p>
  </w:endnote>
  <w:endnote w:type="continuationSeparator" w:id="0">
    <w:p w14:paraId="25340348" w14:textId="77777777" w:rsidR="001F4F73" w:rsidRDefault="001F4F73" w:rsidP="009029B5">
      <w:pPr>
        <w:spacing w:after="0" w:line="240" w:lineRule="auto"/>
      </w:pPr>
      <w:r>
        <w:continuationSeparator/>
      </w:r>
    </w:p>
  </w:endnote>
  <w:endnote w:type="continuationNotice" w:id="1">
    <w:p w14:paraId="4B6518B3" w14:textId="77777777" w:rsidR="001F4F73" w:rsidRDefault="001F4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BCD" w14:textId="5D058E07" w:rsidR="00764BDC" w:rsidRDefault="00764BDC">
    <w:pPr>
      <w:pStyle w:val="Stopka"/>
      <w:jc w:val="right"/>
    </w:pPr>
    <w:r>
      <w:fldChar w:fldCharType="begin"/>
    </w:r>
    <w:r>
      <w:instrText>PAGE   \* MERGEFORMAT</w:instrText>
    </w:r>
    <w:r>
      <w:fldChar w:fldCharType="separate"/>
    </w:r>
    <w:r>
      <w:rPr>
        <w:noProof/>
      </w:rPr>
      <w:t>2</w:t>
    </w:r>
    <w:r>
      <w:fldChar w:fldCharType="end"/>
    </w:r>
  </w:p>
  <w:p w14:paraId="79A184B0" w14:textId="77777777" w:rsidR="00764BDC" w:rsidRDefault="00764B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12DB" w14:textId="77777777" w:rsidR="00764BDC" w:rsidRDefault="00764BDC">
    <w:pPr>
      <w:pStyle w:val="Stopka"/>
    </w:pPr>
  </w:p>
  <w:p w14:paraId="07B126A4" w14:textId="1E6BE82B" w:rsidR="00764BDC" w:rsidRDefault="00764BDC"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2723" w14:textId="77777777" w:rsidR="001F4F73" w:rsidRDefault="001F4F73" w:rsidP="009029B5">
      <w:pPr>
        <w:spacing w:after="0" w:line="240" w:lineRule="auto"/>
      </w:pPr>
      <w:r>
        <w:separator/>
      </w:r>
    </w:p>
  </w:footnote>
  <w:footnote w:type="continuationSeparator" w:id="0">
    <w:p w14:paraId="62C6EB8B" w14:textId="77777777" w:rsidR="001F4F73" w:rsidRDefault="001F4F73" w:rsidP="009029B5">
      <w:pPr>
        <w:spacing w:after="0" w:line="240" w:lineRule="auto"/>
      </w:pPr>
      <w:r>
        <w:continuationSeparator/>
      </w:r>
    </w:p>
  </w:footnote>
  <w:footnote w:type="continuationNotice" w:id="1">
    <w:p w14:paraId="389A6297" w14:textId="77777777" w:rsidR="001F4F73" w:rsidRDefault="001F4F73">
      <w:pPr>
        <w:spacing w:after="0" w:line="240" w:lineRule="auto"/>
      </w:pPr>
    </w:p>
  </w:footnote>
  <w:footnote w:id="2">
    <w:p w14:paraId="3BE9E16D" w14:textId="77777777" w:rsidR="00764BDC" w:rsidRPr="00303F00" w:rsidRDefault="00764BDC" w:rsidP="00AD097C">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1679E279" w14:textId="77777777" w:rsidR="00764BDC" w:rsidRPr="00303F00" w:rsidRDefault="00764BDC"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CF2078F" w14:textId="77777777" w:rsidR="00764BDC" w:rsidRPr="00303F00" w:rsidRDefault="00764BDC"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97B2" w14:textId="3F41A79D" w:rsidR="00764BDC" w:rsidRPr="00793CC9" w:rsidRDefault="00764BDC" w:rsidP="00AB5D95">
    <w:pPr>
      <w:pStyle w:val="Nagwek4"/>
      <w:jc w:val="center"/>
      <w:rPr>
        <w:rFonts w:asciiTheme="minorHAnsi" w:hAnsiTheme="minorHAnsi"/>
        <w:sz w:val="24"/>
        <w:szCs w:val="24"/>
        <w:lang w:val="pl-PL"/>
      </w:rPr>
    </w:pPr>
    <w:r w:rsidRPr="00793CC9">
      <w:rPr>
        <w:rFonts w:asciiTheme="minorHAnsi" w:hAnsiTheme="minorHAnsi"/>
        <w:sz w:val="24"/>
        <w:szCs w:val="24"/>
      </w:rPr>
      <w:t xml:space="preserve">Załącznik do Uchwały nr </w:t>
    </w:r>
    <w:r w:rsidR="001B37EC">
      <w:rPr>
        <w:rFonts w:asciiTheme="minorHAnsi" w:hAnsiTheme="minorHAnsi"/>
        <w:sz w:val="24"/>
        <w:szCs w:val="24"/>
        <w:lang w:val="pl-PL"/>
      </w:rPr>
      <w:t xml:space="preserve">101 </w:t>
    </w:r>
    <w:r w:rsidRPr="00793CC9">
      <w:rPr>
        <w:rFonts w:asciiTheme="minorHAnsi" w:hAnsiTheme="minorHAnsi"/>
        <w:sz w:val="24"/>
        <w:szCs w:val="24"/>
      </w:rPr>
      <w:t>Komitetu Monitorującego Fundusze Europejski</w:t>
    </w:r>
    <w:r>
      <w:rPr>
        <w:rFonts w:asciiTheme="minorHAnsi" w:hAnsiTheme="minorHAnsi"/>
        <w:sz w:val="24"/>
        <w:szCs w:val="24"/>
      </w:rPr>
      <w:t>e dla Śląskiego 2021-2027 z dnia</w:t>
    </w:r>
    <w:r w:rsidR="001B37EC">
      <w:rPr>
        <w:rFonts w:asciiTheme="minorHAnsi" w:hAnsiTheme="minorHAnsi"/>
        <w:sz w:val="24"/>
        <w:szCs w:val="24"/>
        <w:lang w:val="pl-PL"/>
      </w:rPr>
      <w:t xml:space="preserve"> 12.10.</w:t>
    </w:r>
    <w:r w:rsidRPr="00793CC9">
      <w:rPr>
        <w:rFonts w:asciiTheme="minorHAnsi" w:hAnsiTheme="minorHAnsi"/>
        <w:sz w:val="24"/>
        <w:szCs w:val="24"/>
      </w:rPr>
      <w:t xml:space="preserve">2023 roku w sprawie zatwierdzenia kryteriów wyboru projektów dla działania </w:t>
    </w:r>
    <w:bookmarkStart w:id="2" w:name="_Toc527017886"/>
    <w:bookmarkStart w:id="3" w:name="_Toc433127960"/>
    <w:r w:rsidRPr="00793CC9">
      <w:rPr>
        <w:rFonts w:asciiTheme="minorHAnsi" w:hAnsiTheme="minorHAnsi"/>
        <w:sz w:val="24"/>
        <w:szCs w:val="24"/>
        <w:lang w:val="pl-PL"/>
      </w:rPr>
      <w:t>FESL.</w:t>
    </w:r>
    <w:bookmarkEnd w:id="2"/>
    <w:bookmarkEnd w:id="3"/>
    <w:r>
      <w:rPr>
        <w:rFonts w:asciiTheme="minorHAnsi" w:hAnsiTheme="minorHAnsi"/>
        <w:sz w:val="24"/>
        <w:szCs w:val="24"/>
        <w:lang w:val="pl-PL"/>
      </w:rPr>
      <w:t>10.12</w:t>
    </w:r>
    <w:r w:rsidRPr="00793CC9">
      <w:rPr>
        <w:rFonts w:asciiTheme="minorHAnsi" w:hAnsiTheme="minorHAnsi"/>
        <w:sz w:val="24"/>
        <w:szCs w:val="24"/>
        <w:lang w:val="pl-PL"/>
      </w:rPr>
      <w:t xml:space="preserve"> </w:t>
    </w:r>
    <w:r w:rsidRPr="0049036C">
      <w:rPr>
        <w:rFonts w:asciiTheme="minorHAnsi" w:eastAsiaTheme="minorEastAsia" w:hAnsiTheme="minorHAnsi" w:cstheme="minorBidi"/>
        <w:bCs/>
        <w:iCs/>
        <w:sz w:val="24"/>
        <w:szCs w:val="24"/>
      </w:rPr>
      <w:t>Poprawa mobilności</w:t>
    </w:r>
    <w:r w:rsidRPr="0049036C">
      <w:rPr>
        <w:rFonts w:asciiTheme="minorHAnsi" w:eastAsiaTheme="minorEastAsia" w:hAnsiTheme="minorHAnsi" w:cstheme="minorBidi"/>
        <w:sz w:val="24"/>
        <w:szCs w:val="24"/>
      </w:rPr>
      <w:t xml:space="preserve"> </w:t>
    </w:r>
    <w:r w:rsidRPr="0049036C">
      <w:rPr>
        <w:rFonts w:asciiTheme="minorHAnsi" w:eastAsiaTheme="minorEastAsia" w:hAnsiTheme="minorHAnsi" w:cstheme="minorBidi"/>
        <w:bCs/>
        <w:iCs/>
        <w:sz w:val="24"/>
        <w:szCs w:val="24"/>
      </w:rPr>
      <w:t xml:space="preserve">mieszkańców regionu i spójności transportowej podregionów górniczych </w:t>
    </w:r>
    <w:r w:rsidRPr="0049036C">
      <w:rPr>
        <w:rFonts w:asciiTheme="minorHAnsi" w:eastAsiaTheme="minorEastAsia" w:hAnsiTheme="minorHAnsi" w:cstheme="minorBidi"/>
        <w:sz w:val="24"/>
        <w:szCs w:val="24"/>
      </w:rPr>
      <w:t>(tryb niekonkurencyjny)</w:t>
    </w:r>
    <w:r w:rsidRPr="00793CC9">
      <w:rPr>
        <w:rFonts w:asciiTheme="minorHAnsi" w:hAnsiTheme="minorHAnsi"/>
        <w:sz w:val="24"/>
        <w:szCs w:val="24"/>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C70"/>
    <w:multiLevelType w:val="hybridMultilevel"/>
    <w:tmpl w:val="8EF60794"/>
    <w:lvl w:ilvl="0" w:tplc="732CC204">
      <w:start w:val="1"/>
      <w:numFmt w:val="decimal"/>
      <w:lvlText w:val="%1."/>
      <w:lvlJc w:val="center"/>
      <w:pPr>
        <w:ind w:left="-218" w:hanging="360"/>
      </w:pPr>
      <w:rPr>
        <w:rFonts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F7E92"/>
    <w:multiLevelType w:val="hybridMultilevel"/>
    <w:tmpl w:val="FAC85272"/>
    <w:lvl w:ilvl="0" w:tplc="4EB60898">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7" w15:restartNumberingAfterBreak="0">
    <w:nsid w:val="23507900"/>
    <w:multiLevelType w:val="hybridMultilevel"/>
    <w:tmpl w:val="5AA4A062"/>
    <w:lvl w:ilvl="0" w:tplc="33860EFC">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8"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F4456"/>
    <w:multiLevelType w:val="hybridMultilevel"/>
    <w:tmpl w:val="21588BD2"/>
    <w:lvl w:ilvl="0" w:tplc="6B6A483C">
      <w:start w:val="1"/>
      <w:numFmt w:val="decimal"/>
      <w:lvlText w:val="%1"/>
      <w:lvlJc w:val="left"/>
      <w:pPr>
        <w:ind w:left="927"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2E714EB8"/>
    <w:multiLevelType w:val="hybridMultilevel"/>
    <w:tmpl w:val="47B20D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2"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E0A76"/>
    <w:multiLevelType w:val="hybridMultilevel"/>
    <w:tmpl w:val="E3F83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FE7269"/>
    <w:multiLevelType w:val="hybridMultilevel"/>
    <w:tmpl w:val="90E41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13E19"/>
    <w:multiLevelType w:val="hybridMultilevel"/>
    <w:tmpl w:val="1988C062"/>
    <w:lvl w:ilvl="0" w:tplc="E0C45F94">
      <w:start w:val="1"/>
      <w:numFmt w:val="decimal"/>
      <w:lvlText w:val="%1"/>
      <w:lvlJc w:val="left"/>
      <w:pPr>
        <w:ind w:left="1219" w:hanging="360"/>
      </w:pPr>
      <w:rPr>
        <w:rFonts w:hint="default"/>
        <w:color w:val="000000" w:themeColor="text1"/>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2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E299C"/>
    <w:multiLevelType w:val="hybridMultilevel"/>
    <w:tmpl w:val="49E0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D859A0"/>
    <w:multiLevelType w:val="hybridMultilevel"/>
    <w:tmpl w:val="67FA6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852EC"/>
    <w:multiLevelType w:val="hybridMultilevel"/>
    <w:tmpl w:val="7B70E846"/>
    <w:lvl w:ilvl="0" w:tplc="15827F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B4970"/>
    <w:multiLevelType w:val="hybridMultilevel"/>
    <w:tmpl w:val="42C6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1"/>
  </w:num>
  <w:num w:numId="2">
    <w:abstractNumId w:val="6"/>
  </w:num>
  <w:num w:numId="3">
    <w:abstractNumId w:val="15"/>
  </w:num>
  <w:num w:numId="4">
    <w:abstractNumId w:val="21"/>
  </w:num>
  <w:num w:numId="5">
    <w:abstractNumId w:val="17"/>
  </w:num>
  <w:num w:numId="6">
    <w:abstractNumId w:val="32"/>
  </w:num>
  <w:num w:numId="7">
    <w:abstractNumId w:val="26"/>
  </w:num>
  <w:num w:numId="8">
    <w:abstractNumId w:val="23"/>
  </w:num>
  <w:num w:numId="9">
    <w:abstractNumId w:val="0"/>
  </w:num>
  <w:num w:numId="10">
    <w:abstractNumId w:val="2"/>
  </w:num>
  <w:num w:numId="11">
    <w:abstractNumId w:val="30"/>
  </w:num>
  <w:num w:numId="12">
    <w:abstractNumId w:val="5"/>
  </w:num>
  <w:num w:numId="13">
    <w:abstractNumId w:val="19"/>
  </w:num>
  <w:num w:numId="14">
    <w:abstractNumId w:val="33"/>
  </w:num>
  <w:num w:numId="15">
    <w:abstractNumId w:val="8"/>
  </w:num>
  <w:num w:numId="16">
    <w:abstractNumId w:val="18"/>
  </w:num>
  <w:num w:numId="17">
    <w:abstractNumId w:val="12"/>
  </w:num>
  <w:num w:numId="18">
    <w:abstractNumId w:val="3"/>
  </w:num>
  <w:num w:numId="19">
    <w:abstractNumId w:val="24"/>
  </w:num>
  <w:num w:numId="20">
    <w:abstractNumId w:val="34"/>
  </w:num>
  <w:num w:numId="21">
    <w:abstractNumId w:val="29"/>
  </w:num>
  <w:num w:numId="22">
    <w:abstractNumId w:val="9"/>
  </w:num>
  <w:num w:numId="23">
    <w:abstractNumId w:val="20"/>
  </w:num>
  <w:num w:numId="24">
    <w:abstractNumId w:val="7"/>
  </w:num>
  <w:num w:numId="25">
    <w:abstractNumId w:val="31"/>
  </w:num>
  <w:num w:numId="26">
    <w:abstractNumId w:val="16"/>
  </w:num>
  <w:num w:numId="27">
    <w:abstractNumId w:val="13"/>
  </w:num>
  <w:num w:numId="28">
    <w:abstractNumId w:val="22"/>
  </w:num>
  <w:num w:numId="29">
    <w:abstractNumId w:val="14"/>
  </w:num>
  <w:num w:numId="30">
    <w:abstractNumId w:val="10"/>
  </w:num>
  <w:num w:numId="31">
    <w:abstractNumId w:val="27"/>
  </w:num>
  <w:num w:numId="32">
    <w:abstractNumId w:val="4"/>
  </w:num>
  <w:num w:numId="33">
    <w:abstractNumId w:val="28"/>
  </w:num>
  <w:num w:numId="34">
    <w:abstractNumId w:val="1"/>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16B"/>
    <w:rsid w:val="0000240D"/>
    <w:rsid w:val="00002674"/>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74FCD"/>
    <w:rsid w:val="00076385"/>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36DF"/>
    <w:rsid w:val="000C376E"/>
    <w:rsid w:val="000C401D"/>
    <w:rsid w:val="000C71AF"/>
    <w:rsid w:val="000D035F"/>
    <w:rsid w:val="000D6DA2"/>
    <w:rsid w:val="000E30D0"/>
    <w:rsid w:val="000E3104"/>
    <w:rsid w:val="000E7E32"/>
    <w:rsid w:val="0010077D"/>
    <w:rsid w:val="001051C4"/>
    <w:rsid w:val="00105E18"/>
    <w:rsid w:val="00111591"/>
    <w:rsid w:val="0012242A"/>
    <w:rsid w:val="00122BAB"/>
    <w:rsid w:val="0012468C"/>
    <w:rsid w:val="001248B2"/>
    <w:rsid w:val="00142DC2"/>
    <w:rsid w:val="00152496"/>
    <w:rsid w:val="00161A2A"/>
    <w:rsid w:val="001636F5"/>
    <w:rsid w:val="001733F6"/>
    <w:rsid w:val="00174B15"/>
    <w:rsid w:val="00175F48"/>
    <w:rsid w:val="00176011"/>
    <w:rsid w:val="00181D5D"/>
    <w:rsid w:val="0018590E"/>
    <w:rsid w:val="0018636C"/>
    <w:rsid w:val="001904E5"/>
    <w:rsid w:val="0019677F"/>
    <w:rsid w:val="00197F09"/>
    <w:rsid w:val="001A0123"/>
    <w:rsid w:val="001A3C70"/>
    <w:rsid w:val="001B37EC"/>
    <w:rsid w:val="001B40F8"/>
    <w:rsid w:val="001C19DF"/>
    <w:rsid w:val="001C3276"/>
    <w:rsid w:val="001C3E9F"/>
    <w:rsid w:val="001C6C71"/>
    <w:rsid w:val="001D5DCC"/>
    <w:rsid w:val="001E16F4"/>
    <w:rsid w:val="001E356B"/>
    <w:rsid w:val="001F4F73"/>
    <w:rsid w:val="001F5F7A"/>
    <w:rsid w:val="00203C43"/>
    <w:rsid w:val="00204C6B"/>
    <w:rsid w:val="002163B6"/>
    <w:rsid w:val="00216791"/>
    <w:rsid w:val="00217B2A"/>
    <w:rsid w:val="0022604C"/>
    <w:rsid w:val="0023555D"/>
    <w:rsid w:val="00235CCE"/>
    <w:rsid w:val="002361CF"/>
    <w:rsid w:val="0024142D"/>
    <w:rsid w:val="002426B9"/>
    <w:rsid w:val="0024342A"/>
    <w:rsid w:val="00251BCB"/>
    <w:rsid w:val="00254207"/>
    <w:rsid w:val="00264C43"/>
    <w:rsid w:val="002650AE"/>
    <w:rsid w:val="00275C32"/>
    <w:rsid w:val="0029122B"/>
    <w:rsid w:val="002943FA"/>
    <w:rsid w:val="002A3FA9"/>
    <w:rsid w:val="002A5EF5"/>
    <w:rsid w:val="002A7274"/>
    <w:rsid w:val="002B0AE7"/>
    <w:rsid w:val="002B7351"/>
    <w:rsid w:val="002C0FA8"/>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53112"/>
    <w:rsid w:val="00367A56"/>
    <w:rsid w:val="00370AD8"/>
    <w:rsid w:val="0037477A"/>
    <w:rsid w:val="00376920"/>
    <w:rsid w:val="00376A35"/>
    <w:rsid w:val="00381A46"/>
    <w:rsid w:val="00386B96"/>
    <w:rsid w:val="003902F3"/>
    <w:rsid w:val="0039483B"/>
    <w:rsid w:val="00395D38"/>
    <w:rsid w:val="003A484B"/>
    <w:rsid w:val="003A6895"/>
    <w:rsid w:val="003B1169"/>
    <w:rsid w:val="003C0F43"/>
    <w:rsid w:val="003C544B"/>
    <w:rsid w:val="003E306C"/>
    <w:rsid w:val="003E64F1"/>
    <w:rsid w:val="003F61E3"/>
    <w:rsid w:val="00402DBB"/>
    <w:rsid w:val="004034DA"/>
    <w:rsid w:val="00410719"/>
    <w:rsid w:val="00413384"/>
    <w:rsid w:val="00414775"/>
    <w:rsid w:val="004201FA"/>
    <w:rsid w:val="004335B4"/>
    <w:rsid w:val="004347F3"/>
    <w:rsid w:val="00437684"/>
    <w:rsid w:val="004420BC"/>
    <w:rsid w:val="00445108"/>
    <w:rsid w:val="00447166"/>
    <w:rsid w:val="004502A8"/>
    <w:rsid w:val="004512A3"/>
    <w:rsid w:val="0045226E"/>
    <w:rsid w:val="00454C80"/>
    <w:rsid w:val="00455866"/>
    <w:rsid w:val="004561D5"/>
    <w:rsid w:val="00460B24"/>
    <w:rsid w:val="00464B8E"/>
    <w:rsid w:val="00474268"/>
    <w:rsid w:val="00474566"/>
    <w:rsid w:val="004835C9"/>
    <w:rsid w:val="0049036C"/>
    <w:rsid w:val="004929F9"/>
    <w:rsid w:val="00494A64"/>
    <w:rsid w:val="00497E32"/>
    <w:rsid w:val="004A15C5"/>
    <w:rsid w:val="004A7DDE"/>
    <w:rsid w:val="004B0DD6"/>
    <w:rsid w:val="004B3080"/>
    <w:rsid w:val="004C1250"/>
    <w:rsid w:val="004C3D74"/>
    <w:rsid w:val="004D6844"/>
    <w:rsid w:val="004E0291"/>
    <w:rsid w:val="004E2523"/>
    <w:rsid w:val="004E4D61"/>
    <w:rsid w:val="004E78D3"/>
    <w:rsid w:val="004F0B44"/>
    <w:rsid w:val="00500D65"/>
    <w:rsid w:val="0050642F"/>
    <w:rsid w:val="00512475"/>
    <w:rsid w:val="0051316A"/>
    <w:rsid w:val="00517617"/>
    <w:rsid w:val="00522101"/>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34DD"/>
    <w:rsid w:val="00564560"/>
    <w:rsid w:val="005714AA"/>
    <w:rsid w:val="00573B75"/>
    <w:rsid w:val="005850AF"/>
    <w:rsid w:val="00587C2D"/>
    <w:rsid w:val="005A1ED6"/>
    <w:rsid w:val="005A2783"/>
    <w:rsid w:val="005A39F7"/>
    <w:rsid w:val="005A48E7"/>
    <w:rsid w:val="005B6314"/>
    <w:rsid w:val="005C0BFF"/>
    <w:rsid w:val="005C2AB4"/>
    <w:rsid w:val="005C5C89"/>
    <w:rsid w:val="005C5EA9"/>
    <w:rsid w:val="005C6E20"/>
    <w:rsid w:val="005C77F0"/>
    <w:rsid w:val="005D5566"/>
    <w:rsid w:val="005E49FF"/>
    <w:rsid w:val="005F6F1B"/>
    <w:rsid w:val="00604C3F"/>
    <w:rsid w:val="0062463D"/>
    <w:rsid w:val="00625966"/>
    <w:rsid w:val="00626439"/>
    <w:rsid w:val="00626959"/>
    <w:rsid w:val="00640A27"/>
    <w:rsid w:val="00643592"/>
    <w:rsid w:val="00645DD2"/>
    <w:rsid w:val="0065328D"/>
    <w:rsid w:val="00661B13"/>
    <w:rsid w:val="006676D2"/>
    <w:rsid w:val="006716D3"/>
    <w:rsid w:val="00672A2A"/>
    <w:rsid w:val="00674623"/>
    <w:rsid w:val="00682F3F"/>
    <w:rsid w:val="0069111B"/>
    <w:rsid w:val="00692BEE"/>
    <w:rsid w:val="00692EC7"/>
    <w:rsid w:val="00695047"/>
    <w:rsid w:val="00696702"/>
    <w:rsid w:val="006A0D11"/>
    <w:rsid w:val="006A658D"/>
    <w:rsid w:val="006A707C"/>
    <w:rsid w:val="006B28E3"/>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830"/>
    <w:rsid w:val="00706CB6"/>
    <w:rsid w:val="00712A81"/>
    <w:rsid w:val="00716ECC"/>
    <w:rsid w:val="00727084"/>
    <w:rsid w:val="007368AF"/>
    <w:rsid w:val="00737F7B"/>
    <w:rsid w:val="00743232"/>
    <w:rsid w:val="0075478F"/>
    <w:rsid w:val="00755761"/>
    <w:rsid w:val="00764BDC"/>
    <w:rsid w:val="0076572D"/>
    <w:rsid w:val="007707E2"/>
    <w:rsid w:val="0077668D"/>
    <w:rsid w:val="0077767B"/>
    <w:rsid w:val="0078339D"/>
    <w:rsid w:val="00787016"/>
    <w:rsid w:val="007915BE"/>
    <w:rsid w:val="00793CC9"/>
    <w:rsid w:val="00793EBA"/>
    <w:rsid w:val="00794768"/>
    <w:rsid w:val="007A3E60"/>
    <w:rsid w:val="007B1CE9"/>
    <w:rsid w:val="007B34B0"/>
    <w:rsid w:val="007B44C0"/>
    <w:rsid w:val="007B46ED"/>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D2467"/>
    <w:rsid w:val="008E3B92"/>
    <w:rsid w:val="008F0BA9"/>
    <w:rsid w:val="00902221"/>
    <w:rsid w:val="009029B5"/>
    <w:rsid w:val="009036EE"/>
    <w:rsid w:val="00904F4D"/>
    <w:rsid w:val="00906B8C"/>
    <w:rsid w:val="00915C4F"/>
    <w:rsid w:val="0093416C"/>
    <w:rsid w:val="00945C9E"/>
    <w:rsid w:val="00951860"/>
    <w:rsid w:val="009563B7"/>
    <w:rsid w:val="0096738E"/>
    <w:rsid w:val="00975B77"/>
    <w:rsid w:val="0099054F"/>
    <w:rsid w:val="009924C7"/>
    <w:rsid w:val="00992F2B"/>
    <w:rsid w:val="009A227F"/>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60B0"/>
    <w:rsid w:val="00A01752"/>
    <w:rsid w:val="00A106C0"/>
    <w:rsid w:val="00A22E9B"/>
    <w:rsid w:val="00A243AE"/>
    <w:rsid w:val="00A24C0F"/>
    <w:rsid w:val="00A27313"/>
    <w:rsid w:val="00A30F66"/>
    <w:rsid w:val="00A36BD3"/>
    <w:rsid w:val="00A37B17"/>
    <w:rsid w:val="00A52A51"/>
    <w:rsid w:val="00A54113"/>
    <w:rsid w:val="00A6025E"/>
    <w:rsid w:val="00A7368F"/>
    <w:rsid w:val="00A80A7A"/>
    <w:rsid w:val="00A82C7E"/>
    <w:rsid w:val="00A84060"/>
    <w:rsid w:val="00A85155"/>
    <w:rsid w:val="00A91843"/>
    <w:rsid w:val="00A9307C"/>
    <w:rsid w:val="00A9395D"/>
    <w:rsid w:val="00A94EEC"/>
    <w:rsid w:val="00AA724D"/>
    <w:rsid w:val="00AB5D95"/>
    <w:rsid w:val="00AB6C33"/>
    <w:rsid w:val="00AD097C"/>
    <w:rsid w:val="00AD3B71"/>
    <w:rsid w:val="00AD7406"/>
    <w:rsid w:val="00AE3608"/>
    <w:rsid w:val="00AE43CB"/>
    <w:rsid w:val="00AF71CD"/>
    <w:rsid w:val="00B0067B"/>
    <w:rsid w:val="00B01329"/>
    <w:rsid w:val="00B028B9"/>
    <w:rsid w:val="00B11BF3"/>
    <w:rsid w:val="00B12BE4"/>
    <w:rsid w:val="00B22844"/>
    <w:rsid w:val="00B229CD"/>
    <w:rsid w:val="00B43734"/>
    <w:rsid w:val="00B51B92"/>
    <w:rsid w:val="00B53F02"/>
    <w:rsid w:val="00B602A9"/>
    <w:rsid w:val="00B6039A"/>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E64"/>
    <w:rsid w:val="00BD6A3E"/>
    <w:rsid w:val="00BD71C9"/>
    <w:rsid w:val="00BE1CDC"/>
    <w:rsid w:val="00BE3447"/>
    <w:rsid w:val="00BF4FA1"/>
    <w:rsid w:val="00C04877"/>
    <w:rsid w:val="00C10933"/>
    <w:rsid w:val="00C24674"/>
    <w:rsid w:val="00C25855"/>
    <w:rsid w:val="00C261A5"/>
    <w:rsid w:val="00C47B8C"/>
    <w:rsid w:val="00C50C55"/>
    <w:rsid w:val="00C50DEE"/>
    <w:rsid w:val="00C51AFC"/>
    <w:rsid w:val="00C533E1"/>
    <w:rsid w:val="00C53A71"/>
    <w:rsid w:val="00C546AF"/>
    <w:rsid w:val="00C555CF"/>
    <w:rsid w:val="00C55918"/>
    <w:rsid w:val="00C67871"/>
    <w:rsid w:val="00C70B07"/>
    <w:rsid w:val="00C82663"/>
    <w:rsid w:val="00C83ACC"/>
    <w:rsid w:val="00C843FF"/>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3396"/>
    <w:rsid w:val="00CF4003"/>
    <w:rsid w:val="00CF47E6"/>
    <w:rsid w:val="00CF7B98"/>
    <w:rsid w:val="00D00D02"/>
    <w:rsid w:val="00D028E9"/>
    <w:rsid w:val="00D0340B"/>
    <w:rsid w:val="00D04947"/>
    <w:rsid w:val="00D07F10"/>
    <w:rsid w:val="00D104F6"/>
    <w:rsid w:val="00D22D09"/>
    <w:rsid w:val="00D24211"/>
    <w:rsid w:val="00D30D04"/>
    <w:rsid w:val="00D314B5"/>
    <w:rsid w:val="00D40D80"/>
    <w:rsid w:val="00D4789F"/>
    <w:rsid w:val="00D54A2B"/>
    <w:rsid w:val="00D56AB9"/>
    <w:rsid w:val="00D64D0A"/>
    <w:rsid w:val="00D65C47"/>
    <w:rsid w:val="00D708AE"/>
    <w:rsid w:val="00D71460"/>
    <w:rsid w:val="00D776DB"/>
    <w:rsid w:val="00D81305"/>
    <w:rsid w:val="00D8305F"/>
    <w:rsid w:val="00D832BA"/>
    <w:rsid w:val="00D842D1"/>
    <w:rsid w:val="00D8432B"/>
    <w:rsid w:val="00D84F8F"/>
    <w:rsid w:val="00D9362C"/>
    <w:rsid w:val="00D9382A"/>
    <w:rsid w:val="00D968F9"/>
    <w:rsid w:val="00D9696F"/>
    <w:rsid w:val="00D96C48"/>
    <w:rsid w:val="00D9718D"/>
    <w:rsid w:val="00DC33D0"/>
    <w:rsid w:val="00DC76EC"/>
    <w:rsid w:val="00DE076C"/>
    <w:rsid w:val="00DF256E"/>
    <w:rsid w:val="00DF25A2"/>
    <w:rsid w:val="00DF35BC"/>
    <w:rsid w:val="00DF3E8E"/>
    <w:rsid w:val="00DF5934"/>
    <w:rsid w:val="00DF5FCE"/>
    <w:rsid w:val="00DF7C40"/>
    <w:rsid w:val="00E000FC"/>
    <w:rsid w:val="00E023C1"/>
    <w:rsid w:val="00E023C6"/>
    <w:rsid w:val="00E054D3"/>
    <w:rsid w:val="00E145A6"/>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A0F60"/>
    <w:rsid w:val="00EA1E39"/>
    <w:rsid w:val="00EA4339"/>
    <w:rsid w:val="00EA4B2A"/>
    <w:rsid w:val="00EA7FC9"/>
    <w:rsid w:val="00EB2539"/>
    <w:rsid w:val="00EB5B43"/>
    <w:rsid w:val="00EB6EBB"/>
    <w:rsid w:val="00EB75EE"/>
    <w:rsid w:val="00EC1504"/>
    <w:rsid w:val="00EC4E4C"/>
    <w:rsid w:val="00EC5F89"/>
    <w:rsid w:val="00EC6EF6"/>
    <w:rsid w:val="00EE2607"/>
    <w:rsid w:val="00EE7C40"/>
    <w:rsid w:val="00EF2BF0"/>
    <w:rsid w:val="00EF7020"/>
    <w:rsid w:val="00F05439"/>
    <w:rsid w:val="00F05A57"/>
    <w:rsid w:val="00F07C59"/>
    <w:rsid w:val="00F14B04"/>
    <w:rsid w:val="00F15B78"/>
    <w:rsid w:val="00F16CB4"/>
    <w:rsid w:val="00F22E62"/>
    <w:rsid w:val="00F27A18"/>
    <w:rsid w:val="00F30258"/>
    <w:rsid w:val="00F454FF"/>
    <w:rsid w:val="00F50ABD"/>
    <w:rsid w:val="00F52D25"/>
    <w:rsid w:val="00F5772A"/>
    <w:rsid w:val="00F6106F"/>
    <w:rsid w:val="00F621D5"/>
    <w:rsid w:val="00F64B6E"/>
    <w:rsid w:val="00F70630"/>
    <w:rsid w:val="00F74A97"/>
    <w:rsid w:val="00F7633A"/>
    <w:rsid w:val="00F77CDD"/>
    <w:rsid w:val="00F85200"/>
    <w:rsid w:val="00F91253"/>
    <w:rsid w:val="00F91258"/>
    <w:rsid w:val="00F9631D"/>
    <w:rsid w:val="00F97BED"/>
    <w:rsid w:val="00FA5B86"/>
    <w:rsid w:val="00FA6E5E"/>
    <w:rsid w:val="00FB09AF"/>
    <w:rsid w:val="00FB38C7"/>
    <w:rsid w:val="00FB54FD"/>
    <w:rsid w:val="00FC47BE"/>
    <w:rsid w:val="00FF350D"/>
    <w:rsid w:val="00FF3B55"/>
    <w:rsid w:val="00FF4DAC"/>
    <w:rsid w:val="02C92481"/>
    <w:rsid w:val="0301E2FB"/>
    <w:rsid w:val="03F83E77"/>
    <w:rsid w:val="052918F0"/>
    <w:rsid w:val="05986FCB"/>
    <w:rsid w:val="05A9D631"/>
    <w:rsid w:val="066689EF"/>
    <w:rsid w:val="07CB9AE7"/>
    <w:rsid w:val="0929C3A2"/>
    <w:rsid w:val="0946A39F"/>
    <w:rsid w:val="0ACF3E67"/>
    <w:rsid w:val="0BF102F5"/>
    <w:rsid w:val="0C151B43"/>
    <w:rsid w:val="0D20FEFF"/>
    <w:rsid w:val="0E14ADF6"/>
    <w:rsid w:val="0E46EF99"/>
    <w:rsid w:val="0EE3805B"/>
    <w:rsid w:val="0F527CA9"/>
    <w:rsid w:val="0FF3ED29"/>
    <w:rsid w:val="101A5ADB"/>
    <w:rsid w:val="1107E51D"/>
    <w:rsid w:val="12C38126"/>
    <w:rsid w:val="13273A50"/>
    <w:rsid w:val="1354A97C"/>
    <w:rsid w:val="144498A7"/>
    <w:rsid w:val="14651617"/>
    <w:rsid w:val="15440786"/>
    <w:rsid w:val="16747AA2"/>
    <w:rsid w:val="171798FB"/>
    <w:rsid w:val="18139439"/>
    <w:rsid w:val="184DB50E"/>
    <w:rsid w:val="19FE85FC"/>
    <w:rsid w:val="1AF08A27"/>
    <w:rsid w:val="1BC1C792"/>
    <w:rsid w:val="1BC83553"/>
    <w:rsid w:val="1D045089"/>
    <w:rsid w:val="1D83C02E"/>
    <w:rsid w:val="1E47C533"/>
    <w:rsid w:val="21575CEB"/>
    <w:rsid w:val="21889094"/>
    <w:rsid w:val="220D1F9E"/>
    <w:rsid w:val="22CE2EA9"/>
    <w:rsid w:val="2317CA89"/>
    <w:rsid w:val="24D5A154"/>
    <w:rsid w:val="24EC863A"/>
    <w:rsid w:val="25703226"/>
    <w:rsid w:val="25B81CAC"/>
    <w:rsid w:val="25D92AB0"/>
    <w:rsid w:val="2605CF6B"/>
    <w:rsid w:val="266A161C"/>
    <w:rsid w:val="2689F725"/>
    <w:rsid w:val="2788E61D"/>
    <w:rsid w:val="27A7A221"/>
    <w:rsid w:val="28190E63"/>
    <w:rsid w:val="29238017"/>
    <w:rsid w:val="292674DC"/>
    <w:rsid w:val="29E3E4C5"/>
    <w:rsid w:val="29EA1D4F"/>
    <w:rsid w:val="2A29459A"/>
    <w:rsid w:val="2AF39E3D"/>
    <w:rsid w:val="2B3FE3DD"/>
    <w:rsid w:val="2C452602"/>
    <w:rsid w:val="2CCFB189"/>
    <w:rsid w:val="2EDE186B"/>
    <w:rsid w:val="2FBBE30A"/>
    <w:rsid w:val="307F420D"/>
    <w:rsid w:val="30ECABC5"/>
    <w:rsid w:val="321E9AB2"/>
    <w:rsid w:val="323C4505"/>
    <w:rsid w:val="3509A6CC"/>
    <w:rsid w:val="35C03D03"/>
    <w:rsid w:val="372E15F6"/>
    <w:rsid w:val="3742D3BE"/>
    <w:rsid w:val="39C16DC6"/>
    <w:rsid w:val="3B88218A"/>
    <w:rsid w:val="3BE3274B"/>
    <w:rsid w:val="3C5B883D"/>
    <w:rsid w:val="3C6BA4E3"/>
    <w:rsid w:val="3D7CCF28"/>
    <w:rsid w:val="3E92091F"/>
    <w:rsid w:val="3EFD2EF6"/>
    <w:rsid w:val="3F401157"/>
    <w:rsid w:val="402DD980"/>
    <w:rsid w:val="409D7011"/>
    <w:rsid w:val="42394072"/>
    <w:rsid w:val="4379FF95"/>
    <w:rsid w:val="4578361C"/>
    <w:rsid w:val="47B1E96A"/>
    <w:rsid w:val="48F8AEFA"/>
    <w:rsid w:val="490627EF"/>
    <w:rsid w:val="4A17B57B"/>
    <w:rsid w:val="4A9B0F6B"/>
    <w:rsid w:val="4D302BFB"/>
    <w:rsid w:val="4F1FB100"/>
    <w:rsid w:val="4F2E7B7F"/>
    <w:rsid w:val="4FEDE6D8"/>
    <w:rsid w:val="50490596"/>
    <w:rsid w:val="5093C805"/>
    <w:rsid w:val="50CFD00C"/>
    <w:rsid w:val="515316EC"/>
    <w:rsid w:val="52099F03"/>
    <w:rsid w:val="5291D504"/>
    <w:rsid w:val="52FFA0C0"/>
    <w:rsid w:val="5343272F"/>
    <w:rsid w:val="5428C954"/>
    <w:rsid w:val="55A3378A"/>
    <w:rsid w:val="561B6C95"/>
    <w:rsid w:val="564BBF82"/>
    <w:rsid w:val="56DC2302"/>
    <w:rsid w:val="570C89E1"/>
    <w:rsid w:val="57EBC5E7"/>
    <w:rsid w:val="58C7F40C"/>
    <w:rsid w:val="5A3D648C"/>
    <w:rsid w:val="5B4634EE"/>
    <w:rsid w:val="5BFD1320"/>
    <w:rsid w:val="5C49047B"/>
    <w:rsid w:val="5CB3CCF7"/>
    <w:rsid w:val="5F0E3F57"/>
    <w:rsid w:val="5FDF69A5"/>
    <w:rsid w:val="60D634D6"/>
    <w:rsid w:val="61EB31AA"/>
    <w:rsid w:val="636E0866"/>
    <w:rsid w:val="65A3D392"/>
    <w:rsid w:val="65B6F054"/>
    <w:rsid w:val="67994EE7"/>
    <w:rsid w:val="6A276B21"/>
    <w:rsid w:val="6A40516D"/>
    <w:rsid w:val="6BBB4AFC"/>
    <w:rsid w:val="6C0B6E30"/>
    <w:rsid w:val="6CA22CE4"/>
    <w:rsid w:val="6CE874AB"/>
    <w:rsid w:val="6D295C59"/>
    <w:rsid w:val="6DE270BB"/>
    <w:rsid w:val="71C2638B"/>
    <w:rsid w:val="71EEF20E"/>
    <w:rsid w:val="72564D10"/>
    <w:rsid w:val="7286A385"/>
    <w:rsid w:val="72AE38F8"/>
    <w:rsid w:val="72BF8D6A"/>
    <w:rsid w:val="73FA99DC"/>
    <w:rsid w:val="743A3E4B"/>
    <w:rsid w:val="75C2D888"/>
    <w:rsid w:val="766F5DB2"/>
    <w:rsid w:val="7695D4AE"/>
    <w:rsid w:val="77D23170"/>
    <w:rsid w:val="785FAEA3"/>
    <w:rsid w:val="7982C1AB"/>
    <w:rsid w:val="7AD6B9D5"/>
    <w:rsid w:val="7B06A431"/>
    <w:rsid w:val="7B19035C"/>
    <w:rsid w:val="7CA5EC17"/>
    <w:rsid w:val="7DF82F19"/>
    <w:rsid w:val="7E59B7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157767476">
              <w:marLeft w:val="0"/>
              <w:marRight w:val="0"/>
              <w:marTop w:val="0"/>
              <w:marBottom w:val="0"/>
              <w:divBdr>
                <w:top w:val="none" w:sz="0" w:space="0" w:color="auto"/>
                <w:left w:val="none" w:sz="0" w:space="0" w:color="auto"/>
                <w:bottom w:val="none" w:sz="0" w:space="0" w:color="auto"/>
                <w:right w:val="none" w:sz="0" w:space="0" w:color="auto"/>
              </w:divBdr>
            </w:div>
            <w:div w:id="29308997">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 w:id="270549354">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332296585">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7820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154495851">
              <w:marLeft w:val="0"/>
              <w:marRight w:val="0"/>
              <w:marTop w:val="0"/>
              <w:marBottom w:val="0"/>
              <w:divBdr>
                <w:top w:val="none" w:sz="0" w:space="0" w:color="auto"/>
                <w:left w:val="none" w:sz="0" w:space="0" w:color="auto"/>
                <w:bottom w:val="none" w:sz="0" w:space="0" w:color="auto"/>
                <w:right w:val="none" w:sz="0" w:space="0" w:color="auto"/>
              </w:divBdr>
            </w:div>
            <w:div w:id="84497225">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1045107387">
              <w:marLeft w:val="0"/>
              <w:marRight w:val="0"/>
              <w:marTop w:val="0"/>
              <w:marBottom w:val="0"/>
              <w:divBdr>
                <w:top w:val="none" w:sz="0" w:space="0" w:color="auto"/>
                <w:left w:val="none" w:sz="0" w:space="0" w:color="auto"/>
                <w:bottom w:val="none" w:sz="0" w:space="0" w:color="auto"/>
                <w:right w:val="none" w:sz="0" w:space="0" w:color="auto"/>
              </w:divBdr>
            </w:div>
            <w:div w:id="598367084">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EEBA3A04-A978-4449-9A10-ADB774F31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8F0F4D4B-BA82-44E2-8864-9AC8B49F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6844</Words>
  <Characters>41069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Projekt Uchwały KM</vt:lpstr>
    </vt:vector>
  </TitlesOfParts>
  <Company>UMWSL</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101 KM FE SL</dc:title>
  <dc:subject>Zatwierdzenia kryteriów wyboru projektów dla działania FE SL 10.12</dc:subject>
  <dc:creator>Woźniak Anna</dc:creator>
  <cp:keywords>KM FE SL</cp:keywords>
  <cp:lastModifiedBy>Wnuk Iwona</cp:lastModifiedBy>
  <cp:revision>8</cp:revision>
  <cp:lastPrinted>2022-04-15T07:22:00Z</cp:lastPrinted>
  <dcterms:created xsi:type="dcterms:W3CDTF">2023-10-12T12:13:00Z</dcterms:created>
  <dcterms:modified xsi:type="dcterms:W3CDTF">2023-10-19T09:34:00Z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