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>Uchwała nr</w:t>
      </w:r>
      <w:r w:rsidR="000B1CE8">
        <w:rPr>
          <w:rFonts w:eastAsia="Yu Mincho" w:cs="Arial"/>
          <w:b/>
          <w:bCs/>
          <w:sz w:val="24"/>
          <w:szCs w:val="24"/>
        </w:rPr>
        <w:t xml:space="preserve"> 59</w:t>
      </w:r>
      <w:r>
        <w:rPr>
          <w:rFonts w:eastAsia="Yu Mincho" w:cs="Arial"/>
          <w:b/>
          <w:bCs/>
          <w:sz w:val="24"/>
          <w:szCs w:val="24"/>
        </w:rPr>
        <w:t xml:space="preserve"> 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C2001C">
        <w:rPr>
          <w:rFonts w:eastAsia="Yu Mincho" w:cs="Arial"/>
          <w:bCs/>
          <w:sz w:val="24"/>
          <w:szCs w:val="24"/>
        </w:rPr>
        <w:t>FESL.05.08</w:t>
      </w:r>
      <w:r>
        <w:rPr>
          <w:rFonts w:eastAsia="Yu Mincho" w:cs="Arial"/>
          <w:bCs/>
          <w:sz w:val="24"/>
          <w:szCs w:val="24"/>
        </w:rPr>
        <w:t xml:space="preserve"> </w:t>
      </w:r>
      <w:r w:rsidR="00C2001C" w:rsidRPr="00C2001C">
        <w:rPr>
          <w:rFonts w:eastAsia="Yu Mincho" w:cs="Arial"/>
          <w:bCs/>
          <w:sz w:val="24"/>
          <w:szCs w:val="24"/>
        </w:rPr>
        <w:t>Budowanie sieci współpracy międzyinstytucjonalnej i promocji w zakresie poradnictwa zawodowego</w:t>
      </w:r>
    </w:p>
    <w:p w:rsidR="00C0431C" w:rsidRPr="00323871" w:rsidRDefault="00C0431C" w:rsidP="00C0431C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BA2188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C2001C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684632">
        <w:rPr>
          <w:rFonts w:eastAsia="Yu Mincho" w:cs="Arial"/>
          <w:sz w:val="24"/>
        </w:rPr>
        <w:t xml:space="preserve"> pr</w:t>
      </w:r>
      <w:r w:rsidR="00C2001C">
        <w:rPr>
          <w:rFonts w:eastAsia="Yu Mincho" w:cs="Arial"/>
          <w:sz w:val="24"/>
        </w:rPr>
        <w:t>ojektów dla działania FESL.05.08</w:t>
      </w:r>
      <w:r>
        <w:rPr>
          <w:rFonts w:eastAsia="Yu Mincho" w:cs="Arial"/>
          <w:sz w:val="24"/>
        </w:rPr>
        <w:t xml:space="preserve"> </w:t>
      </w:r>
      <w:r w:rsidR="00C2001C" w:rsidRPr="00C2001C">
        <w:rPr>
          <w:rFonts w:eastAsia="Yu Mincho" w:cs="Arial"/>
          <w:sz w:val="24"/>
        </w:rPr>
        <w:t>Budowanie sieci współpracy międzyinstytucjonalnej i promocji w zakresie poradnictwa zawodowego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1B6FCE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dostępu formalne działanie 5.8 FE SL"/>
        <w:tblDescription w:val="Tabela zawiera kryteria ogólne formalne dla działania 5.8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FD0387" w:rsidRPr="00A02874" w:rsidTr="00FB3119">
        <w:tc>
          <w:tcPr>
            <w:tcW w:w="704" w:type="dxa"/>
          </w:tcPr>
          <w:p w:rsidR="00FD0387" w:rsidRPr="00A02874" w:rsidRDefault="00FD0387" w:rsidP="00FD038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0387" w:rsidRPr="00AC35DB" w:rsidRDefault="00FD0387" w:rsidP="00FD0387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FD0387" w:rsidRPr="00AC35DB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FD0387" w:rsidRPr="00AC35DB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FD0387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315CC4">
              <w:rPr>
                <w:rFonts w:ascii="Arial" w:hAnsi="Arial" w:cs="Arial"/>
                <w:spacing w:val="-2"/>
              </w:rPr>
              <w:t>art. 207 ust. 4 ustawy z dnia 27 sierpnia 2009 r. o finansach publicznych,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art.12 ust. 1 punkt 1 ustawy z dnia 15 czerwca 2012 r. o skutkach powierzania wykonywania pracy cudzoziemcom przebywającym wbrew przepisom na terytorium Rzeczypospolitej </w:t>
            </w:r>
            <w:r w:rsidRPr="00AC35DB">
              <w:rPr>
                <w:rFonts w:ascii="Arial" w:hAnsi="Arial" w:cs="Arial"/>
                <w:spacing w:val="-2"/>
              </w:rPr>
              <w:lastRenderedPageBreak/>
              <w:t>Polskiej,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 9 ust. 1 punkt 2a ustawy z dnia 28 października 2002 r. o odpowiedzialności podmiotów zbiorowych za czyny zabronione pod groźbą kary. 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>Kryterium weryfikowane przez oceniającego na podstawie zapisów wniosku o dofinansowanie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34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0294B" w:rsidRPr="00A02874" w:rsidTr="00FB3119">
        <w:trPr>
          <w:trHeight w:val="835"/>
        </w:trPr>
        <w:tc>
          <w:tcPr>
            <w:tcW w:w="704" w:type="dxa"/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0294B" w:rsidRPr="00AC35DB" w:rsidRDefault="00F0294B" w:rsidP="00F0294B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Zapisy wniosku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:rsidR="00F0294B" w:rsidRPr="00AC35D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:rsidR="00F0294B" w:rsidRPr="00AC35DB" w:rsidRDefault="00F0294B" w:rsidP="00F0294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okres realizacji projektu jest zgodny z okresem kwalifikowania wydatków w FE SL, </w:t>
            </w:r>
            <w:r w:rsidRPr="002F08A0">
              <w:rPr>
                <w:rFonts w:ascii="Arial" w:hAnsi="Arial" w:cs="Arial"/>
              </w:rPr>
              <w:t xml:space="preserve">tj. od </w:t>
            </w:r>
            <w:r w:rsidR="00347382">
              <w:rPr>
                <w:rFonts w:ascii="Arial" w:hAnsi="Arial" w:cs="Arial"/>
              </w:rPr>
              <w:br/>
            </w:r>
            <w:r w:rsidRPr="002F08A0">
              <w:rPr>
                <w:rFonts w:ascii="Arial" w:hAnsi="Arial" w:cs="Arial"/>
              </w:rPr>
              <w:t>1 stycznia 2023 r. do 31</w:t>
            </w:r>
            <w:r w:rsidRPr="00AC35DB">
              <w:rPr>
                <w:rFonts w:ascii="Arial" w:hAnsi="Arial" w:cs="Arial"/>
              </w:rPr>
              <w:t xml:space="preserve"> grudnia 2029 r.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zastrzeżeniem zasad określonych dla pomocy publicznej, projekt jest zgodny z przepisami art. 63 ust. 6 i art. 73 ust. 2 lit. f) Rozporządzenia Parlamentu Europejskiego i Rady (UE) nr 2021/1060 z dnia 24 czerwca 2021 r.,</w:t>
            </w:r>
          </w:p>
          <w:p w:rsidR="00F0294B" w:rsidRDefault="00F0294B" w:rsidP="00F0294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projekt jest skierowany do grupy docelowej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terenu województwa śląskiego,</w:t>
            </w:r>
          </w:p>
          <w:p w:rsidR="00A65706" w:rsidRDefault="00F0294B" w:rsidP="00F0294B">
            <w:pPr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315CC4">
              <w:rPr>
                <w:rFonts w:ascii="Arial" w:hAnsi="Arial" w:cs="Arial"/>
              </w:rPr>
              <w:t>biuro projektu jest zlokalizowane na terenie województwa śląskiego</w:t>
            </w:r>
            <w:r w:rsidR="00A65706">
              <w:rPr>
                <w:rFonts w:ascii="Arial" w:hAnsi="Arial" w:cs="Arial"/>
              </w:rPr>
              <w:t>,</w:t>
            </w:r>
          </w:p>
          <w:p w:rsidR="00F0294B" w:rsidRPr="00315CC4" w:rsidRDefault="00A65706" w:rsidP="00A65706">
            <w:pPr>
              <w:numPr>
                <w:ilvl w:val="0"/>
                <w:numId w:val="2"/>
              </w:numPr>
              <w:spacing w:after="0" w:line="360" w:lineRule="auto"/>
              <w:ind w:left="460"/>
              <w:rPr>
                <w:rFonts w:ascii="Arial" w:hAnsi="Arial" w:cs="Arial"/>
              </w:rPr>
            </w:pPr>
            <w:r w:rsidRPr="00A65706">
              <w:rPr>
                <w:rFonts w:ascii="Arial" w:hAnsi="Arial" w:cs="Arial"/>
              </w:rPr>
              <w:t xml:space="preserve">projekt znajduje się na wykazie przedsięwzięć priorytetowych finansowanych w </w:t>
            </w:r>
            <w:r w:rsidR="00C93959">
              <w:rPr>
                <w:rFonts w:ascii="Arial" w:hAnsi="Arial" w:cs="Arial"/>
              </w:rPr>
              <w:t>ramach programu FE SL 2021-2027</w:t>
            </w:r>
            <w:r w:rsidRPr="00A65706">
              <w:rPr>
                <w:rFonts w:ascii="Arial" w:hAnsi="Arial" w:cs="Arial"/>
              </w:rPr>
              <w:t>, obowiązującego na moment upublicznienia naboru</w:t>
            </w:r>
          </w:p>
          <w:p w:rsidR="00F0294B" w:rsidRPr="00AC35D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5.8  FE SL"/>
        <w:tblDescription w:val="Tabela zawiera kryteria ogólne merytoryczne dla działania 5.8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891762">
              <w:rPr>
                <w:rFonts w:ascii="Arial" w:eastAsia="Times New Roman" w:hAnsi="Arial" w:cs="Arial"/>
                <w:lang w:eastAsia="pl-PL"/>
              </w:rPr>
              <w:t>z właściwymi przepisami prawa</w:t>
            </w:r>
            <w:r>
              <w:rPr>
                <w:rFonts w:ascii="Arial" w:eastAsia="Times New Roman" w:hAnsi="Arial" w:cs="Arial"/>
                <w:lang w:eastAsia="pl-PL"/>
              </w:rPr>
              <w:t xml:space="preserve"> krajowego/ Regulaminem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EA5172">
              <w:rPr>
                <w:rFonts w:ascii="Arial" w:eastAsia="Times New Roman" w:hAnsi="Arial" w:cs="Arial"/>
                <w:lang w:eastAsia="pl-PL"/>
              </w:rPr>
              <w:t>Wytycznymi dotyczącymi realizacji projektów z udziałem środków Europejskiego Funduszu Społecznego Plus w regionalnych programach na lata 2021–2027</w:t>
            </w:r>
            <w:r w:rsidRPr="008917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r w:rsidRPr="006A51EB">
              <w:rPr>
                <w:rFonts w:ascii="Arial" w:hAnsi="Arial" w:cs="Arial"/>
              </w:rPr>
              <w:t>zakresie dopuszczonych do realizacji form wsparcia i wymagań dotyczących danego rodzaju wsparcia oraz określonej kwoty projektu.</w:t>
            </w:r>
          </w:p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F0294B" w:rsidRPr="00891762" w:rsidRDefault="00F0294B" w:rsidP="00F0294B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F0294B" w:rsidRPr="00891762" w:rsidRDefault="00F0294B" w:rsidP="00F0294B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>Czy w sposób poprawny i zgodny z definicją wskaźników opisano sposób pomi</w:t>
            </w:r>
            <w:r>
              <w:rPr>
                <w:rFonts w:ascii="Arial" w:hAnsi="Arial" w:cs="Arial"/>
              </w:rPr>
              <w:t xml:space="preserve">aru </w:t>
            </w:r>
            <w:r w:rsidR="003473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monitorowania wskaźników?</w:t>
            </w:r>
          </w:p>
          <w:p w:rsidR="00F0294B" w:rsidRPr="00891762" w:rsidRDefault="00F0294B" w:rsidP="00F0294B">
            <w:p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Kryterium zostanie zweryfikowane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 xml:space="preserve">jedynkowe.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Zadania w projekcie zaplanowano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opisano w sposób umożliwiający stwierdzenie osiągnięcia zaplan</w:t>
            </w:r>
            <w:r>
              <w:rPr>
                <w:rFonts w:ascii="Arial" w:hAnsi="Arial" w:cs="Arial"/>
              </w:rPr>
              <w:t>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56C" w:rsidRDefault="006F056C" w:rsidP="006F05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Celem projektu jest </w:t>
            </w:r>
            <w:r w:rsidRPr="00FB7C2B">
              <w:rPr>
                <w:rFonts w:ascii="Arial" w:hAnsi="Arial" w:cs="Arial"/>
              </w:rPr>
              <w:t>stworzenie sieci współpracy międzyinstytucjonalnej w zakresie poradnictwa zawodowego (sektor oświaty, szkoły wyższe, sektor pracy, inne instytucje realizujące zadania z zakresu poradnictwa zawodowego).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z określoną sytuacją problemową oraz wpływają na osiągnięcie wskaźników i założonych celów? 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Czy opisano zakres merytoryczny zadań uwzględniający: rodzaj i charakter wsparcia, liczbę osób jakie otrzymają wsparcie? 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</w:t>
            </w:r>
            <w:r>
              <w:rPr>
                <w:rFonts w:ascii="Arial" w:hAnsi="Arial" w:cs="Arial"/>
              </w:rPr>
              <w:t xml:space="preserve">pisów wniosku </w:t>
            </w:r>
            <w:r w:rsidR="003473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0294B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SZOP FE </w:t>
            </w:r>
            <w:r w:rsidRPr="00891762">
              <w:rPr>
                <w:rFonts w:ascii="Arial" w:hAnsi="Arial" w:cs="Arial"/>
              </w:rPr>
              <w:lastRenderedPageBreak/>
              <w:t>SL 2021-2027, Regulaminie wyboru. W ramach kryterium weryfikowane jest: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czy we wniosku zidentyfikowano wydatki </w:t>
            </w:r>
            <w:r w:rsidR="00347382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 xml:space="preserve">w całości lub w części niekwalifikowalne, </w:t>
            </w:r>
            <w:r w:rsidR="00347382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tym:</w:t>
            </w:r>
          </w:p>
          <w:p w:rsidR="00F0294B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uznane za zbędne,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wchodzące do katalogu kosztów pośrednich, które zostały wykazane w</w:t>
            </w:r>
            <w:r>
              <w:rPr>
                <w:rFonts w:ascii="Arial" w:hAnsi="Arial" w:cs="Arial"/>
              </w:rPr>
              <w:t xml:space="preserve"> ramach kosztów bezpośrednich,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wskazane, jako niemożliwe do ponoszenia n</w:t>
            </w:r>
            <w:r>
              <w:rPr>
                <w:rFonts w:ascii="Arial" w:hAnsi="Arial" w:cs="Arial"/>
              </w:rPr>
              <w:t xml:space="preserve">a podstawie wytycznych, </w:t>
            </w:r>
            <w:r w:rsidRPr="00E24B3A">
              <w:rPr>
                <w:rFonts w:ascii="Arial" w:hAnsi="Arial" w:cs="Arial"/>
              </w:rPr>
              <w:t>SZOP oraz Regulaminu wyboru,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zawyżone w stosunku do cen rynkowych,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czy we wniosku zidentyfikowano inne błędy </w:t>
            </w:r>
            <w:r w:rsidR="00347382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konstrukcji budżetu, w tym: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niewłaściwy poziom wkładu własnego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przekroczenie kategorii  limitowanych;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•</w:t>
            </w:r>
            <w:r w:rsidRPr="00891762">
              <w:rPr>
                <w:rFonts w:ascii="Arial" w:hAnsi="Arial" w:cs="Arial"/>
              </w:rPr>
              <w:tab/>
              <w:t>wydatki przedstawione w sposób uniemożliwiający obiektywną ocenę wartości jednostkowych  (tzw. „zestawy”, „komplety”);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uzasadnienia wydatków w ramach kategorii limitowanych;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brak wskazania formy zaangażowania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:rsidR="00F0294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uchybienia dotyczące oznaczania pomocy de minimis/pomocy publicznej oraz środków trwałych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cross-financingu.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wartość projektu jest większa od wyrażonej </w:t>
            </w:r>
            <w:r w:rsidR="00347382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PLN równowartości 200 000 EUR.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347382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891762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Ocena spełnienia kryterium będzie </w:t>
            </w:r>
            <w:r w:rsidRPr="00891762">
              <w:rPr>
                <w:rFonts w:ascii="Arial" w:hAnsi="Arial" w:cs="Arial"/>
              </w:rPr>
              <w:lastRenderedPageBreak/>
              <w:t>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5.8 FE SL"/>
        <w:tblDescription w:val="Tabela zawiera kryteria ogólne horyzontalne dla działania 5.8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>dokumentacji projektowej publikowanej na stronach zgodnych z WCAG 2.1, nawet w przypadku braku kwalifikowalności takich wydatków w projekcie.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 xml:space="preserve">ady równości kobiet </w:t>
            </w:r>
            <w:r>
              <w:rPr>
                <w:rFonts w:ascii="Arial" w:hAnsi="Arial" w:cs="Arial"/>
              </w:rPr>
              <w:br/>
              <w:t>i mężczyzn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</w:t>
            </w:r>
            <w:r w:rsidRPr="00470CD9">
              <w:rPr>
                <w:rFonts w:ascii="Arial" w:hAnsi="Arial" w:cs="Arial"/>
              </w:rPr>
              <w:lastRenderedPageBreak/>
              <w:t xml:space="preserve">projektu. Maksymalna liczba punktów do uzyskania wynosi 5. Brak uzyskania co najmniej 3 punktów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 w:rsidR="00347382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34738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34738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których mowa w art. 9 ust. 3 Rozporządzenia PE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zostały wyroki sądu ani wyniki kontroli świadczące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34738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3A2EE2" w:rsidRPr="00470CD9" w:rsidRDefault="00C01673" w:rsidP="003A2EE2">
            <w:pPr>
              <w:spacing w:line="360" w:lineRule="auto"/>
            </w:pPr>
            <w:r>
              <w:rPr>
                <w:rStyle w:val="eop"/>
                <w:rFonts w:ascii="Arial" w:hAnsi="Arial" w:cs="Arial"/>
              </w:rPr>
              <w:t>Dla wnioskodawców i oc</w:t>
            </w:r>
            <w:r w:rsidR="003A2EE2" w:rsidRPr="00470CD9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</w:t>
            </w:r>
            <w:r w:rsidR="003A2EE2" w:rsidRPr="00470CD9">
              <w:rPr>
                <w:rStyle w:val="eop"/>
                <w:rFonts w:ascii="Arial" w:hAnsi="Arial" w:cs="Arial"/>
              </w:rPr>
              <w:lastRenderedPageBreak/>
              <w:t xml:space="preserve">europejskich funduszy strukturalnych </w:t>
            </w:r>
            <w:r w:rsidR="00347382">
              <w:rPr>
                <w:rStyle w:val="eop"/>
                <w:rFonts w:ascii="Arial" w:hAnsi="Arial" w:cs="Arial"/>
              </w:rPr>
              <w:br/>
            </w:r>
            <w:r w:rsidR="003A2EE2" w:rsidRPr="00470CD9">
              <w:rPr>
                <w:rStyle w:val="eop"/>
                <w:rFonts w:ascii="Arial" w:hAnsi="Arial" w:cs="Arial"/>
              </w:rPr>
              <w:t xml:space="preserve">i inwestycyjnych, w </w:t>
            </w:r>
            <w:r w:rsidR="003A2EE2">
              <w:rPr>
                <w:rStyle w:val="eop"/>
                <w:rFonts w:ascii="Arial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34738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34738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 w:rsidR="00347382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</w:t>
            </w:r>
            <w:r w:rsidR="00EF48A4">
              <w:rPr>
                <w:rStyle w:val="normaltextrun"/>
                <w:rFonts w:ascii="Arial" w:hAnsi="Arial" w:cs="Arial"/>
              </w:rPr>
              <w:t xml:space="preserve">zakresu projektu </w:t>
            </w:r>
            <w:r w:rsidR="00347382">
              <w:rPr>
                <w:rStyle w:val="normaltextrun"/>
                <w:rFonts w:ascii="Arial" w:hAnsi="Arial" w:cs="Arial"/>
              </w:rPr>
              <w:br/>
            </w:r>
            <w:r w:rsidR="00EF48A4">
              <w:rPr>
                <w:rStyle w:val="normaltextrun"/>
                <w:rFonts w:ascii="Arial" w:hAnsi="Arial" w:cs="Arial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347382">
              <w:rPr>
                <w:rStyle w:val="normaltextrun"/>
                <w:rFonts w:ascii="Arial" w:hAnsi="Arial" w:cs="Arial"/>
              </w:rPr>
              <w:br/>
            </w:r>
            <w:r w:rsidR="00EF48A4">
              <w:rPr>
                <w:rStyle w:val="normaltextrun"/>
                <w:rFonts w:ascii="Arial" w:hAnsi="Arial" w:cs="Arial"/>
              </w:rPr>
              <w:t>z zasadą zrównoważonego rozwoju</w:t>
            </w:r>
          </w:p>
        </w:tc>
        <w:tc>
          <w:tcPr>
            <w:tcW w:w="5387" w:type="dxa"/>
          </w:tcPr>
          <w:p w:rsidR="003A2EE2" w:rsidRPr="00470CD9" w:rsidRDefault="00C01673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 w:rsidR="0034738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ograniczającą ślad węglowy, stosowaniem zielonych klauzul w zamówieniach, korzystaniem </w:t>
            </w:r>
            <w:r w:rsidR="0034738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347382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FF1C58" w:rsidRDefault="003A2EE2" w:rsidP="003A2EE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hAnsi="Arial" w:cs="Arial"/>
                <w:color w:val="000000"/>
              </w:rPr>
              <w:t xml:space="preserve">Projekt zawiera działania przyczyniające się do zmniejszenia zjawiska dyskryminacji na rynku pracy ze </w:t>
            </w:r>
            <w:r w:rsidRPr="00422BCD">
              <w:rPr>
                <w:rFonts w:ascii="Arial" w:hAnsi="Arial" w:cs="Arial"/>
                <w:color w:val="000000"/>
              </w:rPr>
              <w:lastRenderedPageBreak/>
              <w:t xml:space="preserve">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>seksualną, pochodzenie etniczne</w:t>
            </w:r>
          </w:p>
        </w:tc>
        <w:tc>
          <w:tcPr>
            <w:tcW w:w="5387" w:type="dxa"/>
          </w:tcPr>
          <w:p w:rsidR="003A2EE2" w:rsidRDefault="003A2EE2" w:rsidP="003A2EE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przyczyniające się do zmniejszenia zjawiska dyskryminacji na rynku pracy ze względu na płeć, wiek, niepełnosprawność, orientację seksualną, pochodzenie etniczne polegają m.in. na: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świadomości i wiedzy na temat sytuacji i potrzeb grup szczególnie </w:t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narażonych na rynku pracy na dyskryminację ze względu na płeć, wiek, niepełnosprawność, orientację seksualną, pochodzenie etniczne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</w:t>
            </w:r>
            <w:r w:rsidR="0034738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(w tym barier systemowych) wynikających ze szkodliwych stereotypów</w:t>
            </w:r>
          </w:p>
          <w:p w:rsidR="003A2EE2" w:rsidRPr="00FF1C58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rozwiązań </w:t>
            </w:r>
            <w:r w:rsidR="00347382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i dobrych praktyk w zakresie tworzenia przyjaznego i wolnego od dyskryminacji miejsca pracy dla pracowników należących do tych grup.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AC35DB">
              <w:rPr>
                <w:rFonts w:ascii="Arial" w:hAnsi="Arial" w:cs="Arial"/>
              </w:rPr>
              <w:lastRenderedPageBreak/>
              <w:t>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</w:t>
            </w:r>
            <w:r w:rsidRPr="00AC35DB">
              <w:rPr>
                <w:rFonts w:ascii="Arial" w:hAnsi="Arial" w:cs="Arial"/>
              </w:rPr>
              <w:lastRenderedPageBreak/>
              <w:t>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łanie 5.8 FE SL"/>
        <w:tblDescription w:val="Tabela zawiera kryteria dostępu dla działania 5.8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C2001C" w:rsidRPr="00A02874" w:rsidTr="009A232C">
        <w:tc>
          <w:tcPr>
            <w:tcW w:w="675" w:type="dxa"/>
          </w:tcPr>
          <w:p w:rsidR="00C2001C" w:rsidRPr="005F463B" w:rsidRDefault="00C2001C" w:rsidP="00C200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2001C" w:rsidRPr="00AC35DB" w:rsidRDefault="00C2001C" w:rsidP="00C2001C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387" w:type="dxa"/>
          </w:tcPr>
          <w:p w:rsidR="00C2001C" w:rsidRDefault="00C2001C" w:rsidP="00C200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Grupę docelową stanowią:</w:t>
            </w:r>
          </w:p>
          <w:p w:rsidR="00C2001C" w:rsidRPr="00606338" w:rsidRDefault="00C2001C" w:rsidP="00C2001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06338">
              <w:rPr>
                <w:rFonts w:ascii="Arial" w:hAnsi="Arial" w:cs="Arial"/>
              </w:rPr>
              <w:t>pracownicy systemu oświaty</w:t>
            </w:r>
            <w:r>
              <w:rPr>
                <w:rFonts w:ascii="Arial" w:hAnsi="Arial" w:cs="Arial"/>
              </w:rPr>
              <w:t>,</w:t>
            </w:r>
          </w:p>
          <w:p w:rsidR="00C2001C" w:rsidRPr="00606338" w:rsidRDefault="00C2001C" w:rsidP="00C2001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06338">
              <w:rPr>
                <w:rFonts w:ascii="Arial" w:hAnsi="Arial" w:cs="Arial"/>
              </w:rPr>
              <w:t>pracownicy uczelni i innych podmiotów systemu szkolnictwa wyższego i nauki</w:t>
            </w:r>
            <w:r>
              <w:rPr>
                <w:rFonts w:ascii="Arial" w:hAnsi="Arial" w:cs="Arial"/>
              </w:rPr>
              <w:t>,</w:t>
            </w:r>
          </w:p>
          <w:p w:rsidR="00C2001C" w:rsidRPr="00606338" w:rsidRDefault="00C2001C" w:rsidP="00C2001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06338">
              <w:rPr>
                <w:rFonts w:ascii="Arial" w:hAnsi="Arial" w:cs="Arial"/>
              </w:rPr>
              <w:t>pracownicy</w:t>
            </w:r>
            <w:r>
              <w:rPr>
                <w:rFonts w:ascii="Arial" w:hAnsi="Arial" w:cs="Arial"/>
              </w:rPr>
              <w:t>,</w:t>
            </w:r>
          </w:p>
          <w:p w:rsidR="00C2001C" w:rsidRPr="00606338" w:rsidRDefault="00C2001C" w:rsidP="00C2001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06338">
              <w:rPr>
                <w:rFonts w:ascii="Arial" w:hAnsi="Arial" w:cs="Arial"/>
              </w:rPr>
              <w:t>pracownicy instytucji rynku pracy (w tym publicznych służb zatrudnienia)</w:t>
            </w:r>
            <w:r>
              <w:rPr>
                <w:rFonts w:ascii="Arial" w:hAnsi="Arial" w:cs="Arial"/>
              </w:rPr>
              <w:t>,</w:t>
            </w:r>
          </w:p>
          <w:p w:rsidR="00C2001C" w:rsidRPr="00606338" w:rsidRDefault="00C2001C" w:rsidP="00C2001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06338">
              <w:rPr>
                <w:rFonts w:ascii="Arial" w:hAnsi="Arial" w:cs="Arial"/>
              </w:rPr>
              <w:t>instytucje rynku pracy (w tym publiczne służby zatrudnienia)</w:t>
            </w:r>
            <w:r>
              <w:rPr>
                <w:rFonts w:ascii="Arial" w:hAnsi="Arial" w:cs="Arial"/>
              </w:rPr>
              <w:t>.</w:t>
            </w:r>
          </w:p>
          <w:p w:rsidR="00C2001C" w:rsidRPr="00AC35DB" w:rsidRDefault="00C2001C" w:rsidP="00C200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</w:t>
            </w:r>
            <w:r>
              <w:rPr>
                <w:rFonts w:ascii="Arial" w:hAnsi="Arial" w:cs="Arial"/>
              </w:rPr>
              <w:t xml:space="preserve">zapisów wniosku </w:t>
            </w:r>
            <w:r w:rsidR="003473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 i deklaracji Wnioskodawcy</w:t>
            </w:r>
            <w:r w:rsidRPr="00891762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C2001C" w:rsidRPr="00A02874" w:rsidTr="009A232C">
        <w:tc>
          <w:tcPr>
            <w:tcW w:w="675" w:type="dxa"/>
          </w:tcPr>
          <w:p w:rsidR="00C2001C" w:rsidRPr="00A02874" w:rsidRDefault="00C2001C" w:rsidP="00C2001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2001C" w:rsidRPr="00AC35DB" w:rsidRDefault="00C2001C" w:rsidP="00C2001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Zgodność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z zakresem interwencji</w:t>
            </w:r>
          </w:p>
        </w:tc>
        <w:tc>
          <w:tcPr>
            <w:tcW w:w="5387" w:type="dxa"/>
          </w:tcPr>
          <w:p w:rsidR="00C2001C" w:rsidRDefault="00C2001C" w:rsidP="00C2001C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będzie realizował następujące typy projektów: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t>Stworzenie systemu wymiany informacji pomiędzy instytucjami, w tym określenie zasad współpracy międzyinstytucjonalnej podczas realizacji działań z zakresu poradnictwa zawodowego skierowa</w:t>
            </w:r>
            <w:r>
              <w:rPr>
                <w:rFonts w:ascii="Arial" w:eastAsia="Times New Roman" w:hAnsi="Arial" w:cs="Arial"/>
                <w:lang w:eastAsia="pl-PL"/>
              </w:rPr>
              <w:t>nych do różnych grup odbiorców.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t xml:space="preserve">Opracowanie międzyinstytucjonalnego systemu wsparcia z zakresu poradnictwa zawodowego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C2001C">
              <w:rPr>
                <w:rFonts w:ascii="Arial" w:eastAsia="Times New Roman" w:hAnsi="Arial" w:cs="Arial"/>
                <w:lang w:eastAsia="pl-PL"/>
              </w:rPr>
              <w:t>w woj. śląskim – w postaci standardów postępowania w pracy z różnymi grupami odbiorców.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t>Stworzenie platformy internetowej służącej wymianie informacji, kontaktu z klientem oraz zawierającej narzędzia do określania predyspozycji zawodowych.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lastRenderedPageBreak/>
              <w:t>Pilotaż wypracowanych rozwiązań, tj.:</w:t>
            </w:r>
          </w:p>
          <w:p w:rsidR="00C2001C" w:rsidRPr="009B0620" w:rsidRDefault="00C2001C" w:rsidP="00C2001C">
            <w:p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9B0620">
              <w:rPr>
                <w:rFonts w:ascii="Arial" w:eastAsia="Times New Roman" w:hAnsi="Arial" w:cs="Arial"/>
                <w:lang w:eastAsia="pl-PL"/>
              </w:rPr>
              <w:t>a.</w:t>
            </w:r>
            <w:r w:rsidRPr="009B0620">
              <w:rPr>
                <w:rFonts w:ascii="Arial" w:eastAsia="Times New Roman" w:hAnsi="Arial" w:cs="Arial"/>
                <w:lang w:eastAsia="pl-PL"/>
              </w:rPr>
              <w:tab/>
              <w:t>Szkolenia dla doradców zawodowych realizujących zadania z zakresu poradnictwa zawodowego w różnych instytucjach,</w:t>
            </w:r>
          </w:p>
          <w:p w:rsidR="00C2001C" w:rsidRPr="009B0620" w:rsidRDefault="00C2001C" w:rsidP="00C2001C">
            <w:p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9B0620">
              <w:rPr>
                <w:rFonts w:ascii="Arial" w:eastAsia="Times New Roman" w:hAnsi="Arial" w:cs="Arial"/>
                <w:lang w:eastAsia="pl-PL"/>
              </w:rPr>
              <w:t>b.</w:t>
            </w:r>
            <w:r w:rsidRPr="009B0620">
              <w:rPr>
                <w:rFonts w:ascii="Arial" w:eastAsia="Times New Roman" w:hAnsi="Arial" w:cs="Arial"/>
                <w:lang w:eastAsia="pl-PL"/>
              </w:rPr>
              <w:tab/>
              <w:t xml:space="preserve">Prowadzenie poradnictwa zawodowego dla różnych grup odbiorców w oparciu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9B0620">
              <w:rPr>
                <w:rFonts w:ascii="Arial" w:eastAsia="Times New Roman" w:hAnsi="Arial" w:cs="Arial"/>
                <w:lang w:eastAsia="pl-PL"/>
              </w:rPr>
              <w:t xml:space="preserve">o wypracowane standardy, w tym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9B0620">
              <w:rPr>
                <w:rFonts w:ascii="Arial" w:eastAsia="Times New Roman" w:hAnsi="Arial" w:cs="Arial"/>
                <w:lang w:eastAsia="pl-PL"/>
              </w:rPr>
              <w:t>z wykorzystaniem platformy internetowej.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b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t xml:space="preserve">Szkolenia wdrożeniowe skierowane do przedstawicieli instytucji realizujących zadania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C2001C">
              <w:rPr>
                <w:rFonts w:ascii="Arial" w:eastAsia="Times New Roman" w:hAnsi="Arial" w:cs="Arial"/>
                <w:lang w:eastAsia="pl-PL"/>
              </w:rPr>
              <w:t>z zakresu poradnictwa zawodowego, w tym projektodawców EFS.</w:t>
            </w:r>
          </w:p>
          <w:p w:rsidR="00C2001C" w:rsidRPr="00C2001C" w:rsidRDefault="00C2001C" w:rsidP="00C2001C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0"/>
              <w:rPr>
                <w:rFonts w:ascii="Arial" w:eastAsia="Times New Roman" w:hAnsi="Arial" w:cs="Arial"/>
                <w:lang w:eastAsia="pl-PL"/>
              </w:rPr>
            </w:pPr>
            <w:r w:rsidRPr="00C2001C">
              <w:rPr>
                <w:rFonts w:ascii="Arial" w:eastAsia="Times New Roman" w:hAnsi="Arial" w:cs="Arial"/>
                <w:lang w:eastAsia="pl-PL"/>
              </w:rPr>
              <w:t xml:space="preserve">Przetestowanie przez partnerów projektu utworzonej regionalnej platformy internetowej </w:t>
            </w:r>
            <w:r w:rsidR="00347382">
              <w:rPr>
                <w:rFonts w:ascii="Arial" w:eastAsia="Times New Roman" w:hAnsi="Arial" w:cs="Arial"/>
                <w:lang w:eastAsia="pl-PL"/>
              </w:rPr>
              <w:br/>
            </w:r>
            <w:r w:rsidRPr="00C2001C">
              <w:rPr>
                <w:rFonts w:ascii="Arial" w:eastAsia="Times New Roman" w:hAnsi="Arial" w:cs="Arial"/>
                <w:lang w:eastAsia="pl-PL"/>
              </w:rPr>
              <w:t xml:space="preserve">z funkcjonalnością kontaktu z klientem, wymiany informacji i dobrych praktyk z doradcami </w:t>
            </w:r>
            <w:r w:rsidRPr="00C2001C">
              <w:rPr>
                <w:rFonts w:ascii="Arial" w:eastAsia="Times New Roman" w:hAnsi="Arial" w:cs="Arial"/>
                <w:lang w:eastAsia="pl-PL"/>
              </w:rPr>
              <w:lastRenderedPageBreak/>
              <w:t>zawodowymi, możliwością interaktywnego skorzystania z zasobów portalu.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</w:t>
            </w:r>
            <w:r>
              <w:rPr>
                <w:rFonts w:ascii="Arial" w:hAnsi="Arial" w:cs="Arial"/>
              </w:rPr>
              <w:t xml:space="preserve"> i deklaracji Wnioskodawcy</w:t>
            </w:r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C2001C" w:rsidRPr="00A02874" w:rsidTr="009A232C">
        <w:tc>
          <w:tcPr>
            <w:tcW w:w="675" w:type="dxa"/>
          </w:tcPr>
          <w:p w:rsidR="00C2001C" w:rsidRPr="003A2EE2" w:rsidRDefault="00C2001C" w:rsidP="00C2001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C2001C" w:rsidRPr="00AC35DB" w:rsidRDefault="00C2001C" w:rsidP="00C2001C">
            <w:pPr>
              <w:spacing w:before="240" w:line="360" w:lineRule="auto"/>
              <w:ind w:left="33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Zasady dotyczące kwalifikacji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:rsidR="00C2001C" w:rsidRPr="00AC35DB" w:rsidRDefault="00C2001C" w:rsidP="00C2001C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zapewnia, że efektem szkoleń/ kursów realizowanych w projekcie jest uzyskanie</w:t>
            </w:r>
            <w:r>
              <w:rPr>
                <w:rFonts w:ascii="Arial" w:hAnsi="Arial" w:cs="Arial"/>
              </w:rPr>
              <w:t>/podniesienie</w:t>
            </w:r>
            <w:r w:rsidRPr="00AC35DB">
              <w:rPr>
                <w:rFonts w:ascii="Arial" w:hAnsi="Arial" w:cs="Arial"/>
              </w:rPr>
              <w:t xml:space="preserve"> kwalifikacji lub nabycie kompetencji w rozumieniu obowiązującego załącznika nr 2 do Wytycznych dotyczących monitorowania postępu rzeczowego realizacji programów na lata 2021-2027.</w:t>
            </w:r>
          </w:p>
          <w:p w:rsidR="00C2001C" w:rsidRPr="00AC35DB" w:rsidRDefault="00C2001C" w:rsidP="00C2001C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Szczegółowe informacje i wyjaśnienia zostaną ujęte w Regulaminie wyboru.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Kryterium zostanie zweryfikowane przez oceniającego na podstawie treści wniosku </w:t>
            </w:r>
            <w:r w:rsidR="00347382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</w:t>
            </w:r>
            <w:r>
              <w:rPr>
                <w:rFonts w:ascii="Arial" w:hAnsi="Arial" w:cs="Arial"/>
              </w:rPr>
              <w:t xml:space="preserve"> i deklaracji Wnioskodawcy</w:t>
            </w:r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347382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C2001C" w:rsidRPr="00AC35DB" w:rsidRDefault="00C2001C" w:rsidP="00C200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65C47" w:rsidRDefault="006A39F8" w:rsidP="006A39F8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B2" w:rsidRDefault="007445B2" w:rsidP="009029B5">
      <w:pPr>
        <w:spacing w:after="0" w:line="240" w:lineRule="auto"/>
      </w:pPr>
      <w:r>
        <w:separator/>
      </w:r>
    </w:p>
  </w:endnote>
  <w:endnote w:type="continuationSeparator" w:id="0">
    <w:p w:rsidR="007445B2" w:rsidRDefault="007445B2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E" w:rsidRDefault="001B6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1B6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E" w:rsidRDefault="001B6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B2" w:rsidRDefault="007445B2" w:rsidP="009029B5">
      <w:pPr>
        <w:spacing w:after="0" w:line="240" w:lineRule="auto"/>
      </w:pPr>
      <w:r>
        <w:separator/>
      </w:r>
    </w:p>
  </w:footnote>
  <w:footnote w:type="continuationSeparator" w:id="0">
    <w:p w:rsidR="007445B2" w:rsidRDefault="007445B2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E" w:rsidRDefault="001B6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E" w:rsidRDefault="001B6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FB3119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 w:rsidR="001B6FCE">
      <w:rPr>
        <w:rFonts w:asciiTheme="minorHAnsi" w:hAnsiTheme="minorHAnsi"/>
        <w:i/>
        <w:sz w:val="20"/>
      </w:rPr>
      <w:t>59</w:t>
    </w:r>
    <w:bookmarkStart w:id="1" w:name="_GoBack"/>
    <w:bookmarkEnd w:id="1"/>
    <w:r w:rsidR="00540FF1">
      <w:rPr>
        <w:rFonts w:asciiTheme="minorHAnsi" w:hAnsiTheme="minorHAnsi"/>
        <w:i/>
        <w:sz w:val="20"/>
      </w:rPr>
      <w:t xml:space="preserve"> </w:t>
    </w:r>
    <w:r w:rsidR="00167FA9" w:rsidRPr="003A6F40">
      <w:rPr>
        <w:rFonts w:asciiTheme="minorHAnsi" w:hAnsiTheme="minorHAnsi"/>
        <w:i/>
        <w:sz w:val="20"/>
      </w:rPr>
      <w:t xml:space="preserve">Komitetu Monitorującego </w:t>
    </w:r>
    <w:r w:rsidR="00347382">
      <w:rPr>
        <w:rFonts w:asciiTheme="minorHAnsi" w:hAnsiTheme="minorHAnsi"/>
        <w:i/>
        <w:sz w:val="20"/>
      </w:rPr>
      <w:t xml:space="preserve">program </w:t>
    </w:r>
    <w:r w:rsidR="00167FA9" w:rsidRPr="003A6F40">
      <w:rPr>
        <w:rFonts w:asciiTheme="minorHAnsi" w:hAnsiTheme="minorHAnsi"/>
        <w:i/>
        <w:sz w:val="20"/>
      </w:rPr>
      <w:t>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684632">
      <w:rPr>
        <w:rFonts w:asciiTheme="minorHAnsi" w:hAnsiTheme="minorHAnsi"/>
        <w:i/>
        <w:sz w:val="20"/>
      </w:rPr>
      <w:t>FESL.05</w:t>
    </w:r>
    <w:r w:rsidR="00167FA9" w:rsidRPr="003A6F40">
      <w:rPr>
        <w:rFonts w:asciiTheme="minorHAnsi" w:hAnsiTheme="minorHAnsi"/>
        <w:i/>
        <w:sz w:val="20"/>
      </w:rPr>
      <w:t>.0</w:t>
    </w:r>
    <w:r w:rsidR="00C2001C">
      <w:rPr>
        <w:rFonts w:asciiTheme="minorHAnsi" w:hAnsiTheme="minorHAnsi"/>
        <w:i/>
        <w:sz w:val="20"/>
      </w:rPr>
      <w:t>8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 w:rsidR="00C2001C" w:rsidRPr="00C2001C">
      <w:rPr>
        <w:rFonts w:asciiTheme="minorHAnsi" w:hAnsiTheme="minorHAnsi"/>
        <w:i/>
        <w:sz w:val="20"/>
      </w:rPr>
      <w:t>Budowanie sieci współpracy międzyinstytucjonalnej i promocji w zakresie poradnictwa zawodowego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1C02"/>
    <w:multiLevelType w:val="hybridMultilevel"/>
    <w:tmpl w:val="540A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B1CDB"/>
    <w:multiLevelType w:val="hybridMultilevel"/>
    <w:tmpl w:val="73FC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0"/>
  </w:num>
  <w:num w:numId="4">
    <w:abstractNumId w:val="7"/>
  </w:num>
  <w:num w:numId="5">
    <w:abstractNumId w:val="17"/>
  </w:num>
  <w:num w:numId="6">
    <w:abstractNumId w:val="5"/>
  </w:num>
  <w:num w:numId="7">
    <w:abstractNumId w:val="33"/>
  </w:num>
  <w:num w:numId="8">
    <w:abstractNumId w:val="14"/>
  </w:num>
  <w:num w:numId="9">
    <w:abstractNumId w:val="23"/>
  </w:num>
  <w:num w:numId="10">
    <w:abstractNumId w:val="34"/>
  </w:num>
  <w:num w:numId="11">
    <w:abstractNumId w:val="35"/>
  </w:num>
  <w:num w:numId="12">
    <w:abstractNumId w:val="4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9"/>
  </w:num>
  <w:num w:numId="18">
    <w:abstractNumId w:val="1"/>
  </w:num>
  <w:num w:numId="19">
    <w:abstractNumId w:val="24"/>
  </w:num>
  <w:num w:numId="20">
    <w:abstractNumId w:val="2"/>
  </w:num>
  <w:num w:numId="21">
    <w:abstractNumId w:val="26"/>
  </w:num>
  <w:num w:numId="22">
    <w:abstractNumId w:val="15"/>
  </w:num>
  <w:num w:numId="23">
    <w:abstractNumId w:val="21"/>
  </w:num>
  <w:num w:numId="24">
    <w:abstractNumId w:val="30"/>
  </w:num>
  <w:num w:numId="25">
    <w:abstractNumId w:val="36"/>
  </w:num>
  <w:num w:numId="26">
    <w:abstractNumId w:val="20"/>
  </w:num>
  <w:num w:numId="27">
    <w:abstractNumId w:val="31"/>
  </w:num>
  <w:num w:numId="28">
    <w:abstractNumId w:val="38"/>
  </w:num>
  <w:num w:numId="29">
    <w:abstractNumId w:val="10"/>
  </w:num>
  <w:num w:numId="30">
    <w:abstractNumId w:val="12"/>
  </w:num>
  <w:num w:numId="31">
    <w:abstractNumId w:val="37"/>
  </w:num>
  <w:num w:numId="32">
    <w:abstractNumId w:val="22"/>
  </w:num>
  <w:num w:numId="33">
    <w:abstractNumId w:val="18"/>
  </w:num>
  <w:num w:numId="34">
    <w:abstractNumId w:val="11"/>
  </w:num>
  <w:num w:numId="35">
    <w:abstractNumId w:val="6"/>
  </w:num>
  <w:num w:numId="36">
    <w:abstractNumId w:val="8"/>
  </w:num>
  <w:num w:numId="37">
    <w:abstractNumId w:val="0"/>
  </w:num>
  <w:num w:numId="38">
    <w:abstractNumId w:val="3"/>
  </w:num>
  <w:num w:numId="39">
    <w:abstractNumId w:val="32"/>
  </w:num>
  <w:num w:numId="40">
    <w:abstractNumId w:val="29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52FEB"/>
    <w:rsid w:val="00054F52"/>
    <w:rsid w:val="000643B2"/>
    <w:rsid w:val="0006646D"/>
    <w:rsid w:val="000868AC"/>
    <w:rsid w:val="00086A3F"/>
    <w:rsid w:val="000975C4"/>
    <w:rsid w:val="00097CD1"/>
    <w:rsid w:val="000A1EC7"/>
    <w:rsid w:val="000A4537"/>
    <w:rsid w:val="000B1CE8"/>
    <w:rsid w:val="000B3480"/>
    <w:rsid w:val="000B3CD6"/>
    <w:rsid w:val="000B6B8A"/>
    <w:rsid w:val="000C16E8"/>
    <w:rsid w:val="000D515F"/>
    <w:rsid w:val="000D6DA2"/>
    <w:rsid w:val="000E2F54"/>
    <w:rsid w:val="000E3104"/>
    <w:rsid w:val="000E7E32"/>
    <w:rsid w:val="001051C4"/>
    <w:rsid w:val="00107C00"/>
    <w:rsid w:val="00111591"/>
    <w:rsid w:val="001248B2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B0CF9"/>
    <w:rsid w:val="001B6FCE"/>
    <w:rsid w:val="001C6C71"/>
    <w:rsid w:val="001E16F4"/>
    <w:rsid w:val="001E79A7"/>
    <w:rsid w:val="001F5F7A"/>
    <w:rsid w:val="001F7885"/>
    <w:rsid w:val="00203C43"/>
    <w:rsid w:val="0021367A"/>
    <w:rsid w:val="0021437D"/>
    <w:rsid w:val="00217B2A"/>
    <w:rsid w:val="0023555D"/>
    <w:rsid w:val="002426B9"/>
    <w:rsid w:val="002515C8"/>
    <w:rsid w:val="00251BCB"/>
    <w:rsid w:val="002615B3"/>
    <w:rsid w:val="00264C43"/>
    <w:rsid w:val="00271981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7C98"/>
    <w:rsid w:val="003413F0"/>
    <w:rsid w:val="00347382"/>
    <w:rsid w:val="003529DE"/>
    <w:rsid w:val="00353112"/>
    <w:rsid w:val="0035584A"/>
    <w:rsid w:val="00356D57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588A"/>
    <w:rsid w:val="003F6F40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3643"/>
    <w:rsid w:val="00494A64"/>
    <w:rsid w:val="00497E32"/>
    <w:rsid w:val="00497FC6"/>
    <w:rsid w:val="004A4359"/>
    <w:rsid w:val="004A7DDE"/>
    <w:rsid w:val="004B3080"/>
    <w:rsid w:val="004C3D74"/>
    <w:rsid w:val="004E1E5E"/>
    <w:rsid w:val="004E554E"/>
    <w:rsid w:val="004E78D3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70A7"/>
    <w:rsid w:val="00557EDC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1EA3"/>
    <w:rsid w:val="005E34F0"/>
    <w:rsid w:val="005E49FF"/>
    <w:rsid w:val="005F463B"/>
    <w:rsid w:val="0062463D"/>
    <w:rsid w:val="00643592"/>
    <w:rsid w:val="00650641"/>
    <w:rsid w:val="00652743"/>
    <w:rsid w:val="00657B06"/>
    <w:rsid w:val="006676D2"/>
    <w:rsid w:val="00672A2A"/>
    <w:rsid w:val="00674623"/>
    <w:rsid w:val="00684632"/>
    <w:rsid w:val="006864FC"/>
    <w:rsid w:val="0069111B"/>
    <w:rsid w:val="00693F4C"/>
    <w:rsid w:val="00695047"/>
    <w:rsid w:val="00696702"/>
    <w:rsid w:val="006978E7"/>
    <w:rsid w:val="006A0D11"/>
    <w:rsid w:val="006A39F8"/>
    <w:rsid w:val="006C2223"/>
    <w:rsid w:val="006C7224"/>
    <w:rsid w:val="006D7D81"/>
    <w:rsid w:val="006E6A1B"/>
    <w:rsid w:val="006E7155"/>
    <w:rsid w:val="006F056C"/>
    <w:rsid w:val="006F08C1"/>
    <w:rsid w:val="006F30E5"/>
    <w:rsid w:val="006F5F71"/>
    <w:rsid w:val="00706CB6"/>
    <w:rsid w:val="00706EB8"/>
    <w:rsid w:val="0072222F"/>
    <w:rsid w:val="00730749"/>
    <w:rsid w:val="00733153"/>
    <w:rsid w:val="007445B2"/>
    <w:rsid w:val="0075478F"/>
    <w:rsid w:val="00755761"/>
    <w:rsid w:val="0076572D"/>
    <w:rsid w:val="007707E2"/>
    <w:rsid w:val="0077668D"/>
    <w:rsid w:val="0077767B"/>
    <w:rsid w:val="0078339D"/>
    <w:rsid w:val="00793EBA"/>
    <w:rsid w:val="007A34F6"/>
    <w:rsid w:val="007B34B0"/>
    <w:rsid w:val="007B46ED"/>
    <w:rsid w:val="007D0DAD"/>
    <w:rsid w:val="007E2F13"/>
    <w:rsid w:val="007E33ED"/>
    <w:rsid w:val="007E6713"/>
    <w:rsid w:val="007F52F1"/>
    <w:rsid w:val="007F7101"/>
    <w:rsid w:val="00806BA4"/>
    <w:rsid w:val="00806F2D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904C2"/>
    <w:rsid w:val="00890FDE"/>
    <w:rsid w:val="00891762"/>
    <w:rsid w:val="008A0202"/>
    <w:rsid w:val="008C3234"/>
    <w:rsid w:val="008C5123"/>
    <w:rsid w:val="008E3B92"/>
    <w:rsid w:val="008F0A3A"/>
    <w:rsid w:val="008F0BA9"/>
    <w:rsid w:val="009018AE"/>
    <w:rsid w:val="00902221"/>
    <w:rsid w:val="009029B5"/>
    <w:rsid w:val="009036EE"/>
    <w:rsid w:val="00904F4D"/>
    <w:rsid w:val="009230EF"/>
    <w:rsid w:val="009261FD"/>
    <w:rsid w:val="00944019"/>
    <w:rsid w:val="00945C9E"/>
    <w:rsid w:val="00951860"/>
    <w:rsid w:val="00975B77"/>
    <w:rsid w:val="0099054F"/>
    <w:rsid w:val="009924C7"/>
    <w:rsid w:val="009A510E"/>
    <w:rsid w:val="009A7C41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499D"/>
    <w:rsid w:val="009F60B0"/>
    <w:rsid w:val="00A106C0"/>
    <w:rsid w:val="00A22E9B"/>
    <w:rsid w:val="00A243AE"/>
    <w:rsid w:val="00A27313"/>
    <w:rsid w:val="00A43F22"/>
    <w:rsid w:val="00A45AEA"/>
    <w:rsid w:val="00A4653A"/>
    <w:rsid w:val="00A54113"/>
    <w:rsid w:val="00A6025E"/>
    <w:rsid w:val="00A61A1E"/>
    <w:rsid w:val="00A63960"/>
    <w:rsid w:val="00A65706"/>
    <w:rsid w:val="00A7368F"/>
    <w:rsid w:val="00A82C7E"/>
    <w:rsid w:val="00A84060"/>
    <w:rsid w:val="00A85155"/>
    <w:rsid w:val="00A9307C"/>
    <w:rsid w:val="00A9395D"/>
    <w:rsid w:val="00AB6AE7"/>
    <w:rsid w:val="00AB6C33"/>
    <w:rsid w:val="00AC35DB"/>
    <w:rsid w:val="00AC48F0"/>
    <w:rsid w:val="00AD3B71"/>
    <w:rsid w:val="00B01329"/>
    <w:rsid w:val="00B028B9"/>
    <w:rsid w:val="00B06BB9"/>
    <w:rsid w:val="00B07499"/>
    <w:rsid w:val="00B12BE4"/>
    <w:rsid w:val="00B12D95"/>
    <w:rsid w:val="00B229CD"/>
    <w:rsid w:val="00B461D5"/>
    <w:rsid w:val="00B51B92"/>
    <w:rsid w:val="00B540AB"/>
    <w:rsid w:val="00B65021"/>
    <w:rsid w:val="00B717DB"/>
    <w:rsid w:val="00B91CA4"/>
    <w:rsid w:val="00B92C2F"/>
    <w:rsid w:val="00B93E9A"/>
    <w:rsid w:val="00B94144"/>
    <w:rsid w:val="00B94B3C"/>
    <w:rsid w:val="00B96F6C"/>
    <w:rsid w:val="00BA1227"/>
    <w:rsid w:val="00BA2188"/>
    <w:rsid w:val="00BA66A6"/>
    <w:rsid w:val="00BC0F23"/>
    <w:rsid w:val="00BC51FC"/>
    <w:rsid w:val="00BD6A3E"/>
    <w:rsid w:val="00BE3447"/>
    <w:rsid w:val="00BF4FA1"/>
    <w:rsid w:val="00C01673"/>
    <w:rsid w:val="00C0431C"/>
    <w:rsid w:val="00C067CB"/>
    <w:rsid w:val="00C2001C"/>
    <w:rsid w:val="00C24674"/>
    <w:rsid w:val="00C261A5"/>
    <w:rsid w:val="00C27FE0"/>
    <w:rsid w:val="00C33762"/>
    <w:rsid w:val="00C34638"/>
    <w:rsid w:val="00C50DEE"/>
    <w:rsid w:val="00C53A71"/>
    <w:rsid w:val="00C546AF"/>
    <w:rsid w:val="00C6078A"/>
    <w:rsid w:val="00C63D34"/>
    <w:rsid w:val="00C7241E"/>
    <w:rsid w:val="00C803B2"/>
    <w:rsid w:val="00C81520"/>
    <w:rsid w:val="00C83D5F"/>
    <w:rsid w:val="00C93959"/>
    <w:rsid w:val="00CA3A97"/>
    <w:rsid w:val="00CA6016"/>
    <w:rsid w:val="00CB254D"/>
    <w:rsid w:val="00CB4EC3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2212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A0DF5"/>
    <w:rsid w:val="00DC2856"/>
    <w:rsid w:val="00DC33D0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50A58"/>
    <w:rsid w:val="00E55D54"/>
    <w:rsid w:val="00E55F53"/>
    <w:rsid w:val="00E57305"/>
    <w:rsid w:val="00E57EF6"/>
    <w:rsid w:val="00E61FB4"/>
    <w:rsid w:val="00E6526E"/>
    <w:rsid w:val="00E726FD"/>
    <w:rsid w:val="00E77F7C"/>
    <w:rsid w:val="00EA0F60"/>
    <w:rsid w:val="00EA1C36"/>
    <w:rsid w:val="00EA1E39"/>
    <w:rsid w:val="00EA4339"/>
    <w:rsid w:val="00EA4B2A"/>
    <w:rsid w:val="00EB4A41"/>
    <w:rsid w:val="00EC5F89"/>
    <w:rsid w:val="00EE2607"/>
    <w:rsid w:val="00EF48A4"/>
    <w:rsid w:val="00EF5711"/>
    <w:rsid w:val="00F00722"/>
    <w:rsid w:val="00F0294B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7235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0387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170E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129CD-9C95-4E52-B204-ED8721F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3156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5.8 Budowanie sieci współpracy międzyinstytucjonalnej i promocji w zakresie poradnictwa zawodowego</vt:lpstr>
    </vt:vector>
  </TitlesOfParts>
  <Company>Wojewódzki Urząd Pracy w Katowicach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5.8 Budowanie sieci współpracy międzyinstytucjonalnej i promocji w zakresie poradnictwa zawodowego</dc:title>
  <dc:subject>Uchwała w sprawie kryteriów wyboru</dc:subject>
  <dc:creator>Wojewódzki Urząd Pracy</dc:creator>
  <cp:keywords>Kryteria 5.8 FE SL</cp:keywords>
  <cp:lastModifiedBy>Brodzka Magdalena</cp:lastModifiedBy>
  <cp:revision>29</cp:revision>
  <cp:lastPrinted>2022-04-15T07:22:00Z</cp:lastPrinted>
  <dcterms:created xsi:type="dcterms:W3CDTF">2023-04-12T05:59:00Z</dcterms:created>
  <dcterms:modified xsi:type="dcterms:W3CDTF">2023-06-07T07:09:00Z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