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16EC6" w14:textId="3114EAA4" w:rsidR="00A6025E" w:rsidRPr="00B55F82" w:rsidRDefault="00F5772A" w:rsidP="47B1E96A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Toc416693506"/>
      <w:r w:rsidRPr="00B55F82">
        <w:rPr>
          <w:rFonts w:asciiTheme="minorHAnsi" w:hAnsiTheme="minorHAnsi" w:cstheme="minorHAnsi"/>
          <w:b/>
          <w:bCs/>
          <w:sz w:val="24"/>
          <w:szCs w:val="24"/>
        </w:rPr>
        <w:t xml:space="preserve">Uchwała nr </w:t>
      </w:r>
      <w:r w:rsidR="00DE16D3">
        <w:rPr>
          <w:rFonts w:asciiTheme="minorHAnsi" w:hAnsiTheme="minorHAnsi" w:cstheme="minorHAnsi"/>
          <w:b/>
          <w:bCs/>
          <w:sz w:val="24"/>
          <w:szCs w:val="24"/>
        </w:rPr>
        <w:t>40</w:t>
      </w:r>
    </w:p>
    <w:p w14:paraId="3EB96B9F" w14:textId="77777777" w:rsidR="00F5772A" w:rsidRPr="00B55F82" w:rsidRDefault="00F5772A" w:rsidP="002E540D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55F82">
        <w:rPr>
          <w:rFonts w:asciiTheme="minorHAnsi" w:hAnsiTheme="minorHAnsi" w:cstheme="minorHAnsi"/>
          <w:b/>
          <w:bCs/>
          <w:sz w:val="24"/>
          <w:szCs w:val="24"/>
        </w:rPr>
        <w:t>Komitetu Monitorującego</w:t>
      </w:r>
    </w:p>
    <w:p w14:paraId="1444DFF0" w14:textId="6EC5DBA8" w:rsidR="00F5772A" w:rsidRPr="00B55F82" w:rsidRDefault="00DE16D3" w:rsidP="002E540D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program </w:t>
      </w:r>
      <w:r w:rsidR="00CA3A97" w:rsidRPr="00B55F82">
        <w:rPr>
          <w:rFonts w:asciiTheme="minorHAnsi" w:hAnsiTheme="minorHAnsi" w:cstheme="minorHAnsi"/>
          <w:b/>
          <w:bCs/>
          <w:sz w:val="24"/>
          <w:szCs w:val="24"/>
        </w:rPr>
        <w:t>Fundusze Europejskie dla Śląskiego 2021- 2027</w:t>
      </w:r>
    </w:p>
    <w:p w14:paraId="3F583A2D" w14:textId="4DC3B440" w:rsidR="00A6025E" w:rsidRPr="00B55F82" w:rsidRDefault="00F5772A" w:rsidP="002E540D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55F82">
        <w:rPr>
          <w:rFonts w:asciiTheme="minorHAnsi" w:hAnsiTheme="minorHAnsi" w:cstheme="minorHAnsi"/>
          <w:b/>
          <w:bCs/>
          <w:sz w:val="24"/>
          <w:szCs w:val="24"/>
        </w:rPr>
        <w:t xml:space="preserve">z dnia </w:t>
      </w:r>
      <w:r w:rsidR="005D0EE3">
        <w:rPr>
          <w:rFonts w:asciiTheme="minorHAnsi" w:hAnsiTheme="minorHAnsi" w:cstheme="minorHAnsi"/>
          <w:b/>
          <w:bCs/>
          <w:sz w:val="24"/>
          <w:szCs w:val="24"/>
        </w:rPr>
        <w:t>28 marca 2023</w:t>
      </w:r>
      <w:r w:rsidR="008838CC" w:rsidRPr="00B55F8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A0F60" w:rsidRPr="00B55F82">
        <w:rPr>
          <w:rFonts w:asciiTheme="minorHAnsi" w:hAnsiTheme="minorHAnsi" w:cstheme="minorHAnsi"/>
          <w:b/>
          <w:bCs/>
          <w:sz w:val="24"/>
          <w:szCs w:val="24"/>
        </w:rPr>
        <w:t>roku</w:t>
      </w:r>
    </w:p>
    <w:p w14:paraId="672A6659" w14:textId="21F180E5" w:rsidR="00841334" w:rsidRPr="00B55F82" w:rsidRDefault="00F5772A" w:rsidP="002E540D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55F82">
        <w:rPr>
          <w:rFonts w:asciiTheme="minorHAnsi" w:hAnsiTheme="minorHAnsi" w:cstheme="minorHAnsi"/>
          <w:b/>
          <w:bCs/>
          <w:sz w:val="24"/>
          <w:szCs w:val="24"/>
        </w:rPr>
        <w:t>w sprawie</w:t>
      </w:r>
    </w:p>
    <w:p w14:paraId="274D7833" w14:textId="79F56FFD" w:rsidR="0063188E" w:rsidRPr="00B55F82" w:rsidRDefault="0037477A" w:rsidP="58C7F40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B55F82">
        <w:rPr>
          <w:rFonts w:asciiTheme="minorHAnsi" w:hAnsiTheme="minorHAnsi" w:cstheme="minorHAnsi"/>
          <w:b/>
          <w:bCs/>
          <w:i/>
          <w:iCs/>
        </w:rPr>
        <w:t>zatwierdzenia</w:t>
      </w:r>
      <w:r w:rsidR="00460B24" w:rsidRPr="00B55F82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01536D" w:rsidRPr="00B55F82">
        <w:rPr>
          <w:rFonts w:asciiTheme="minorHAnsi" w:hAnsiTheme="minorHAnsi" w:cstheme="minorHAnsi"/>
          <w:b/>
          <w:bCs/>
          <w:i/>
          <w:iCs/>
        </w:rPr>
        <w:t>kryteriów wyboru projekt</w:t>
      </w:r>
      <w:r w:rsidR="008574D2">
        <w:rPr>
          <w:rFonts w:asciiTheme="minorHAnsi" w:hAnsiTheme="minorHAnsi" w:cstheme="minorHAnsi"/>
          <w:b/>
          <w:bCs/>
          <w:i/>
          <w:iCs/>
        </w:rPr>
        <w:t>u</w:t>
      </w:r>
      <w:r w:rsidR="0001536D" w:rsidRPr="00B55F82">
        <w:rPr>
          <w:rFonts w:asciiTheme="minorHAnsi" w:hAnsiTheme="minorHAnsi" w:cstheme="minorHAnsi"/>
          <w:b/>
          <w:bCs/>
          <w:i/>
          <w:iCs/>
        </w:rPr>
        <w:t xml:space="preserve"> dla działania </w:t>
      </w:r>
    </w:p>
    <w:p w14:paraId="0A37501D" w14:textId="6006F199" w:rsidR="00F5772A" w:rsidRPr="00B55F82" w:rsidRDefault="001C6097" w:rsidP="00CB4EC3">
      <w:pPr>
        <w:spacing w:after="0"/>
        <w:jc w:val="center"/>
        <w:rPr>
          <w:rFonts w:asciiTheme="minorHAnsi" w:eastAsiaTheme="minorEastAsia" w:hAnsiTheme="minorHAnsi" w:cstheme="minorHAnsi"/>
          <w:b/>
          <w:bCs/>
          <w:i/>
          <w:iCs/>
        </w:rPr>
      </w:pPr>
      <w:r>
        <w:rPr>
          <w:rFonts w:asciiTheme="minorHAnsi" w:eastAsiaTheme="minorEastAsia" w:hAnsiTheme="minorHAnsi" w:cstheme="minorHAnsi"/>
          <w:b/>
          <w:bCs/>
          <w:i/>
          <w:iCs/>
        </w:rPr>
        <w:t>FESL.01</w:t>
      </w:r>
      <w:r w:rsidR="00826D0F" w:rsidRPr="00B55F82">
        <w:rPr>
          <w:rFonts w:asciiTheme="minorHAnsi" w:eastAsiaTheme="minorEastAsia" w:hAnsiTheme="minorHAnsi" w:cstheme="minorHAnsi"/>
          <w:b/>
          <w:bCs/>
          <w:i/>
          <w:iCs/>
        </w:rPr>
        <w:t>.</w:t>
      </w:r>
      <w:r>
        <w:rPr>
          <w:rFonts w:asciiTheme="minorHAnsi" w:eastAsiaTheme="minorEastAsia" w:hAnsiTheme="minorHAnsi" w:cstheme="minorHAnsi"/>
          <w:b/>
          <w:bCs/>
          <w:i/>
          <w:iCs/>
        </w:rPr>
        <w:t>0</w:t>
      </w:r>
      <w:r w:rsidR="00826D0F" w:rsidRPr="00B55F82">
        <w:rPr>
          <w:rFonts w:asciiTheme="minorHAnsi" w:eastAsiaTheme="minorEastAsia" w:hAnsiTheme="minorHAnsi" w:cstheme="minorHAnsi"/>
          <w:b/>
          <w:bCs/>
          <w:i/>
          <w:iCs/>
        </w:rPr>
        <w:t>9 Konkurencyjność przedsiębiorstw</w:t>
      </w:r>
      <w:r w:rsidR="001866C7" w:rsidRPr="00B55F82">
        <w:rPr>
          <w:rFonts w:asciiTheme="minorHAnsi" w:eastAsiaTheme="minorEastAsia" w:hAnsiTheme="minorHAnsi" w:cstheme="minorHAnsi"/>
          <w:b/>
          <w:bCs/>
          <w:i/>
          <w:iCs/>
        </w:rPr>
        <w:t xml:space="preserve"> (IF)</w:t>
      </w:r>
    </w:p>
    <w:p w14:paraId="0D74718E" w14:textId="77777777" w:rsidR="00826D0F" w:rsidRPr="00B55F82" w:rsidRDefault="00826D0F" w:rsidP="00CB4EC3">
      <w:pPr>
        <w:spacing w:after="0"/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14:paraId="741FC1E8" w14:textId="77777777" w:rsidR="00755761" w:rsidRPr="00B55F82" w:rsidRDefault="00755761" w:rsidP="490627EF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16E0D97" w14:textId="33939E2D" w:rsidR="00951860" w:rsidRPr="00B55F82" w:rsidRDefault="00951860" w:rsidP="490627EF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B55F82">
        <w:rPr>
          <w:rFonts w:asciiTheme="minorHAnsi" w:hAnsiTheme="minorHAnsi" w:cstheme="minorHAnsi"/>
          <w:i/>
          <w:iCs/>
          <w:sz w:val="18"/>
          <w:szCs w:val="18"/>
        </w:rPr>
        <w:t xml:space="preserve">Na podstawie art. </w:t>
      </w:r>
      <w:r w:rsidR="001F5F7A" w:rsidRPr="00B55F82">
        <w:rPr>
          <w:rFonts w:asciiTheme="minorHAnsi" w:hAnsiTheme="minorHAnsi" w:cstheme="minorHAnsi"/>
          <w:i/>
          <w:iCs/>
          <w:sz w:val="18"/>
          <w:szCs w:val="18"/>
        </w:rPr>
        <w:t>40</w:t>
      </w:r>
      <w:r w:rsidRPr="00B55F82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1F5F7A" w:rsidRPr="00B55F82">
        <w:rPr>
          <w:rFonts w:asciiTheme="minorHAnsi" w:hAnsiTheme="minorHAnsi" w:cstheme="minorHAnsi"/>
          <w:i/>
          <w:iCs/>
          <w:sz w:val="18"/>
          <w:szCs w:val="18"/>
        </w:rPr>
        <w:t xml:space="preserve">ust. 2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 w:rsidR="00A243AE" w:rsidRPr="00B55F82">
        <w:rPr>
          <w:rFonts w:asciiTheme="minorHAnsi" w:hAnsiTheme="minorHAnsi" w:cstheme="minorHAnsi"/>
          <w:i/>
          <w:iCs/>
          <w:sz w:val="18"/>
          <w:szCs w:val="18"/>
        </w:rPr>
        <w:br/>
      </w:r>
      <w:r w:rsidR="001F5F7A" w:rsidRPr="00B55F82">
        <w:rPr>
          <w:rFonts w:asciiTheme="minorHAnsi" w:hAnsiTheme="minorHAnsi" w:cstheme="minorHAnsi"/>
          <w:i/>
          <w:iCs/>
          <w:sz w:val="18"/>
          <w:szCs w:val="18"/>
        </w:rPr>
        <w:t>i Integracji, Funduszu Bezpieczeństwa Wewnętrznego i Instrumentu Wsparcia Finansowego na rzecz Zarządzania Granicami i Polityki Wizowej</w:t>
      </w:r>
      <w:r w:rsidRPr="00B55F82">
        <w:rPr>
          <w:rFonts w:asciiTheme="minorHAnsi" w:hAnsiTheme="minorHAnsi" w:cstheme="minorHAnsi"/>
          <w:i/>
          <w:iCs/>
          <w:sz w:val="18"/>
          <w:szCs w:val="18"/>
        </w:rPr>
        <w:t xml:space="preserve">; art. </w:t>
      </w:r>
      <w:r w:rsidR="001F5F7A" w:rsidRPr="00B55F82">
        <w:rPr>
          <w:rFonts w:asciiTheme="minorHAnsi" w:hAnsiTheme="minorHAnsi" w:cstheme="minorHAnsi"/>
          <w:i/>
          <w:iCs/>
          <w:sz w:val="18"/>
          <w:szCs w:val="18"/>
        </w:rPr>
        <w:t>19</w:t>
      </w:r>
      <w:r w:rsidRPr="00B55F82">
        <w:rPr>
          <w:rFonts w:asciiTheme="minorHAnsi" w:hAnsiTheme="minorHAnsi" w:cstheme="minorHAnsi"/>
          <w:i/>
          <w:iCs/>
          <w:sz w:val="18"/>
          <w:szCs w:val="18"/>
        </w:rPr>
        <w:t xml:space="preserve"> ustawy z dnia </w:t>
      </w:r>
      <w:r w:rsidR="001F5F7A" w:rsidRPr="00B55F82">
        <w:rPr>
          <w:rFonts w:asciiTheme="minorHAnsi" w:hAnsiTheme="minorHAnsi" w:cstheme="minorHAnsi"/>
          <w:i/>
          <w:iCs/>
          <w:sz w:val="18"/>
          <w:szCs w:val="18"/>
        </w:rPr>
        <w:t>28 kwietnia 2022</w:t>
      </w:r>
      <w:r w:rsidRPr="00B55F82">
        <w:rPr>
          <w:rFonts w:asciiTheme="minorHAnsi" w:hAnsiTheme="minorHAnsi" w:cstheme="minorHAnsi"/>
          <w:i/>
          <w:iCs/>
          <w:sz w:val="18"/>
          <w:szCs w:val="18"/>
        </w:rPr>
        <w:t xml:space="preserve"> r o zasadach realizacji </w:t>
      </w:r>
      <w:r w:rsidR="001F5F7A" w:rsidRPr="00B55F82">
        <w:rPr>
          <w:rFonts w:asciiTheme="minorHAnsi" w:hAnsiTheme="minorHAnsi" w:cstheme="minorHAnsi"/>
          <w:i/>
          <w:iCs/>
          <w:sz w:val="18"/>
          <w:szCs w:val="18"/>
        </w:rPr>
        <w:t>zadań finansowanych ze środków europejskich w perspektywie finansowej 2021–2027</w:t>
      </w:r>
    </w:p>
    <w:p w14:paraId="12F76659" w14:textId="77777777" w:rsidR="00755761" w:rsidRPr="00B55F82" w:rsidRDefault="00755761" w:rsidP="00CB4EC3">
      <w:pPr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276C8A27" w14:textId="7FAFB673" w:rsidR="00F5772A" w:rsidRPr="00B55F82" w:rsidRDefault="00F5772A" w:rsidP="00CB4EC3">
      <w:pPr>
        <w:spacing w:before="120" w:after="120"/>
        <w:jc w:val="center"/>
        <w:rPr>
          <w:rFonts w:asciiTheme="minorHAnsi" w:hAnsiTheme="minorHAnsi" w:cstheme="minorHAnsi"/>
          <w:bCs/>
        </w:rPr>
      </w:pPr>
      <w:r w:rsidRPr="00B55F82">
        <w:rPr>
          <w:rFonts w:asciiTheme="minorHAnsi" w:hAnsiTheme="minorHAnsi" w:cstheme="minorHAnsi"/>
          <w:b/>
          <w:bCs/>
        </w:rPr>
        <w:t>§ 1</w:t>
      </w:r>
    </w:p>
    <w:p w14:paraId="31A28840" w14:textId="154EA796" w:rsidR="00E33044" w:rsidRPr="00B55F82" w:rsidRDefault="0037477A" w:rsidP="002F453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i/>
          <w:iCs/>
        </w:rPr>
      </w:pPr>
      <w:r w:rsidRPr="00B55F82">
        <w:rPr>
          <w:rStyle w:val="Pogrubienie"/>
          <w:rFonts w:asciiTheme="minorHAnsi" w:hAnsiTheme="minorHAnsi" w:cstheme="minorHAnsi"/>
          <w:b w:val="0"/>
          <w:bCs w:val="0"/>
        </w:rPr>
        <w:t xml:space="preserve">Zatwierdza się </w:t>
      </w:r>
      <w:r w:rsidR="00F5772A" w:rsidRPr="00B55F82">
        <w:rPr>
          <w:rStyle w:val="Pogrubienie"/>
          <w:rFonts w:asciiTheme="minorHAnsi" w:hAnsiTheme="minorHAnsi" w:cstheme="minorHAnsi"/>
          <w:b w:val="0"/>
          <w:bCs w:val="0"/>
        </w:rPr>
        <w:t>kryteria wyboru projekt</w:t>
      </w:r>
      <w:r w:rsidR="006D4282">
        <w:rPr>
          <w:rStyle w:val="Pogrubienie"/>
          <w:rFonts w:asciiTheme="minorHAnsi" w:hAnsiTheme="minorHAnsi" w:cstheme="minorHAnsi"/>
          <w:b w:val="0"/>
          <w:bCs w:val="0"/>
        </w:rPr>
        <w:t>u</w:t>
      </w:r>
      <w:r w:rsidR="0031245C" w:rsidRPr="00B55F82">
        <w:rPr>
          <w:rFonts w:asciiTheme="minorHAnsi" w:hAnsiTheme="minorHAnsi" w:cstheme="minorHAnsi"/>
        </w:rPr>
        <w:t xml:space="preserve"> </w:t>
      </w:r>
      <w:r w:rsidR="00A6025E" w:rsidRPr="00B55F82">
        <w:rPr>
          <w:rFonts w:asciiTheme="minorHAnsi" w:hAnsiTheme="minorHAnsi" w:cstheme="minorHAnsi"/>
        </w:rPr>
        <w:t>dla</w:t>
      </w:r>
      <w:r w:rsidR="0001536D" w:rsidRPr="00B55F82">
        <w:rPr>
          <w:rFonts w:asciiTheme="minorHAnsi" w:hAnsiTheme="minorHAnsi" w:cstheme="minorHAnsi"/>
        </w:rPr>
        <w:t xml:space="preserve"> działania </w:t>
      </w:r>
      <w:r w:rsidR="001F61FF">
        <w:rPr>
          <w:rFonts w:asciiTheme="minorHAnsi" w:hAnsiTheme="minorHAnsi" w:cstheme="minorHAnsi"/>
        </w:rPr>
        <w:t>FESL.01</w:t>
      </w:r>
      <w:r w:rsidR="00826D0F" w:rsidRPr="00B55F82">
        <w:rPr>
          <w:rFonts w:asciiTheme="minorHAnsi" w:hAnsiTheme="minorHAnsi" w:cstheme="minorHAnsi"/>
        </w:rPr>
        <w:t>.</w:t>
      </w:r>
      <w:r w:rsidR="001F61FF">
        <w:rPr>
          <w:rFonts w:asciiTheme="minorHAnsi" w:hAnsiTheme="minorHAnsi" w:cstheme="minorHAnsi"/>
        </w:rPr>
        <w:t>0</w:t>
      </w:r>
      <w:r w:rsidR="00826D0F" w:rsidRPr="00B55F82">
        <w:rPr>
          <w:rFonts w:asciiTheme="minorHAnsi" w:hAnsiTheme="minorHAnsi" w:cstheme="minorHAnsi"/>
        </w:rPr>
        <w:t>9 Konkurencyjność przedsiębiorstw</w:t>
      </w:r>
      <w:r w:rsidR="001866C7" w:rsidRPr="00B55F82">
        <w:rPr>
          <w:rFonts w:asciiTheme="minorHAnsi" w:hAnsiTheme="minorHAnsi" w:cstheme="minorHAnsi"/>
        </w:rPr>
        <w:t xml:space="preserve"> (IF)</w:t>
      </w:r>
      <w:r w:rsidR="00B72462" w:rsidRPr="00B55F82">
        <w:rPr>
          <w:rFonts w:asciiTheme="minorHAnsi" w:hAnsiTheme="minorHAnsi" w:cstheme="minorHAnsi"/>
        </w:rPr>
        <w:t>.</w:t>
      </w:r>
    </w:p>
    <w:p w14:paraId="02EB378F" w14:textId="4311F179" w:rsidR="000B6B8A" w:rsidRPr="00B55F82" w:rsidRDefault="00CA3A97" w:rsidP="002E54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="Times New Roman" w:hAnsiTheme="minorHAnsi" w:cstheme="minorHAnsi"/>
          <w:i/>
          <w:iCs/>
        </w:rPr>
      </w:pPr>
      <w:r w:rsidRPr="00B55F82">
        <w:rPr>
          <w:rFonts w:asciiTheme="minorHAnsi" w:hAnsiTheme="minorHAnsi" w:cstheme="minorHAnsi"/>
        </w:rPr>
        <w:t>Kryteria</w:t>
      </w:r>
      <w:r w:rsidR="002E540D" w:rsidRPr="00B55F82">
        <w:rPr>
          <w:rFonts w:asciiTheme="minorHAnsi" w:hAnsiTheme="minorHAnsi" w:cstheme="minorHAnsi"/>
        </w:rPr>
        <w:t xml:space="preserve"> wyboru projekt</w:t>
      </w:r>
      <w:r w:rsidR="00900B63">
        <w:rPr>
          <w:rFonts w:asciiTheme="minorHAnsi" w:hAnsiTheme="minorHAnsi" w:cstheme="minorHAnsi"/>
        </w:rPr>
        <w:t>u</w:t>
      </w:r>
      <w:r w:rsidR="002E540D" w:rsidRPr="00B55F82">
        <w:rPr>
          <w:rFonts w:asciiTheme="minorHAnsi" w:hAnsiTheme="minorHAnsi" w:cstheme="minorHAnsi"/>
        </w:rPr>
        <w:t xml:space="preserve"> </w:t>
      </w:r>
      <w:r w:rsidR="002A3FA9" w:rsidRPr="00B55F82">
        <w:rPr>
          <w:rFonts w:asciiTheme="minorHAnsi" w:hAnsiTheme="minorHAnsi" w:cstheme="minorHAnsi"/>
        </w:rPr>
        <w:t xml:space="preserve">stanowią załącznik do niniejszej uchwały.   </w:t>
      </w:r>
    </w:p>
    <w:p w14:paraId="207CCF61" w14:textId="015EC6F7" w:rsidR="002A3FA9" w:rsidRPr="00B55F82" w:rsidRDefault="00A6025E" w:rsidP="58C7F40C">
      <w:pPr>
        <w:pStyle w:val="Akapitzlist"/>
        <w:tabs>
          <w:tab w:val="left" w:pos="4253"/>
        </w:tabs>
        <w:rPr>
          <w:rFonts w:asciiTheme="minorHAnsi" w:hAnsiTheme="minorHAnsi" w:cstheme="minorHAnsi"/>
          <w:b/>
          <w:bCs/>
        </w:rPr>
      </w:pPr>
      <w:r w:rsidRPr="00B55F82">
        <w:rPr>
          <w:rFonts w:asciiTheme="minorHAnsi" w:hAnsiTheme="minorHAnsi" w:cstheme="minorHAnsi"/>
          <w:b/>
          <w:bCs/>
        </w:rPr>
        <w:t xml:space="preserve">    </w:t>
      </w:r>
    </w:p>
    <w:p w14:paraId="2C039194" w14:textId="77777777" w:rsidR="00755761" w:rsidRPr="00B55F82" w:rsidRDefault="00755761" w:rsidP="58C7F40C">
      <w:pPr>
        <w:pStyle w:val="Akapitzlist"/>
        <w:tabs>
          <w:tab w:val="left" w:pos="4253"/>
        </w:tabs>
        <w:rPr>
          <w:rFonts w:asciiTheme="minorHAnsi" w:hAnsiTheme="minorHAnsi" w:cstheme="minorHAnsi"/>
          <w:b/>
          <w:bCs/>
        </w:rPr>
      </w:pPr>
    </w:p>
    <w:p w14:paraId="6A724822" w14:textId="727103A6" w:rsidR="002F453A" w:rsidRPr="00B55F82" w:rsidRDefault="0037477A" w:rsidP="002F453A">
      <w:pPr>
        <w:pStyle w:val="Akapitzlist"/>
        <w:tabs>
          <w:tab w:val="left" w:pos="4253"/>
        </w:tabs>
        <w:ind w:left="3540" w:firstLine="708"/>
        <w:rPr>
          <w:rFonts w:asciiTheme="minorHAnsi" w:hAnsiTheme="minorHAnsi" w:cstheme="minorHAnsi"/>
          <w:b/>
          <w:bCs/>
        </w:rPr>
      </w:pPr>
      <w:r w:rsidRPr="00B55F82">
        <w:rPr>
          <w:rFonts w:asciiTheme="minorHAnsi" w:hAnsiTheme="minorHAnsi" w:cstheme="minorHAnsi"/>
          <w:b/>
          <w:bCs/>
        </w:rPr>
        <w:t xml:space="preserve"> </w:t>
      </w:r>
      <w:r w:rsidR="00F5772A" w:rsidRPr="00B55F82">
        <w:rPr>
          <w:rFonts w:asciiTheme="minorHAnsi" w:hAnsiTheme="minorHAnsi" w:cstheme="minorHAnsi"/>
          <w:b/>
          <w:bCs/>
        </w:rPr>
        <w:t>§ 2</w:t>
      </w:r>
    </w:p>
    <w:p w14:paraId="3801FE28" w14:textId="77777777" w:rsidR="00CB4EC3" w:rsidRPr="00B55F82" w:rsidRDefault="00F5772A" w:rsidP="0037477A">
      <w:pPr>
        <w:spacing w:before="120" w:after="120"/>
        <w:rPr>
          <w:rFonts w:asciiTheme="minorHAnsi" w:hAnsiTheme="minorHAnsi" w:cstheme="minorHAnsi"/>
        </w:rPr>
      </w:pPr>
      <w:r w:rsidRPr="00B55F82">
        <w:rPr>
          <w:rFonts w:asciiTheme="minorHAnsi" w:hAnsiTheme="minorHAnsi" w:cstheme="minorHAnsi"/>
        </w:rPr>
        <w:t>Uchwała wchodzi w życie z dniem podjęcia.</w:t>
      </w:r>
    </w:p>
    <w:p w14:paraId="767B1A04" w14:textId="77777777" w:rsidR="00F5772A" w:rsidRPr="00B55F82" w:rsidRDefault="00C546AF" w:rsidP="00C546AF">
      <w:pPr>
        <w:pStyle w:val="NormalnyWeb"/>
        <w:spacing w:line="276" w:lineRule="auto"/>
        <w:ind w:right="127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5F82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</w:t>
      </w:r>
      <w:r w:rsidR="00EA4B2A" w:rsidRPr="00B55F82">
        <w:rPr>
          <w:rFonts w:asciiTheme="minorHAnsi" w:hAnsiTheme="minorHAnsi" w:cstheme="minorHAnsi"/>
          <w:b/>
          <w:sz w:val="22"/>
          <w:szCs w:val="22"/>
        </w:rPr>
        <w:t>Przewodniczący</w:t>
      </w:r>
      <w:r w:rsidR="00F5772A" w:rsidRPr="00B55F8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79F7D8D" w14:textId="77777777" w:rsidR="00237D36" w:rsidRDefault="00F5772A" w:rsidP="00CB4EC3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5F82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</w:t>
      </w:r>
      <w:r w:rsidR="00CA3A97" w:rsidRPr="00B55F82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B55F82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323331" w:rsidRPr="00B55F82">
        <w:rPr>
          <w:rFonts w:asciiTheme="minorHAnsi" w:hAnsiTheme="minorHAnsi" w:cstheme="minorHAnsi"/>
          <w:b/>
          <w:sz w:val="22"/>
          <w:szCs w:val="22"/>
        </w:rPr>
        <w:t>KM</w:t>
      </w:r>
      <w:r w:rsidRPr="00B55F8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CA3A97" w:rsidRPr="00B55F82">
        <w:rPr>
          <w:rFonts w:asciiTheme="minorHAnsi" w:hAnsiTheme="minorHAnsi" w:cstheme="minorHAnsi"/>
          <w:b/>
          <w:sz w:val="22"/>
          <w:szCs w:val="22"/>
        </w:rPr>
        <w:t>FE SL 2021-2027</w:t>
      </w:r>
    </w:p>
    <w:p w14:paraId="41C940EB" w14:textId="4CA05E11" w:rsidR="00C546AF" w:rsidRPr="00B55F82" w:rsidRDefault="007707E2" w:rsidP="00CB4EC3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  <w:r w:rsidRPr="00B55F82">
        <w:rPr>
          <w:rFonts w:asciiTheme="minorHAnsi" w:hAnsiTheme="minorHAnsi" w:cstheme="minorHAnsi"/>
          <w:b/>
          <w:sz w:val="22"/>
          <w:szCs w:val="22"/>
        </w:rPr>
        <w:tab/>
      </w:r>
      <w:r w:rsidRPr="00B55F82">
        <w:rPr>
          <w:rFonts w:asciiTheme="minorHAnsi" w:hAnsiTheme="minorHAnsi" w:cstheme="minorHAnsi"/>
          <w:b/>
          <w:sz w:val="22"/>
          <w:szCs w:val="22"/>
        </w:rPr>
        <w:tab/>
      </w:r>
    </w:p>
    <w:p w14:paraId="6A05A809" w14:textId="69590CF6" w:rsidR="00F5772A" w:rsidRPr="00B55F82" w:rsidRDefault="00B55F82" w:rsidP="00B55F82">
      <w:pPr>
        <w:pStyle w:val="NormalnyWeb"/>
        <w:keepNext/>
        <w:spacing w:before="240" w:after="60" w:line="276" w:lineRule="auto"/>
        <w:ind w:left="4956"/>
        <w:jc w:val="both"/>
        <w:rPr>
          <w:rFonts w:asciiTheme="minorHAnsi" w:hAnsiTheme="minorHAnsi" w:cstheme="minorHAnsi"/>
          <w:b/>
          <w:bCs/>
          <w:sz w:val="22"/>
          <w:szCs w:val="22"/>
        </w:rPr>
        <w:sectPr w:rsidR="00F5772A" w:rsidRPr="00B55F82" w:rsidSect="002E540D">
          <w:footerReference w:type="default" r:id="rId12"/>
          <w:headerReference w:type="first" r:id="rId13"/>
          <w:footerReference w:type="first" r:id="rId14"/>
          <w:pgSz w:w="11906" w:h="16838"/>
          <w:pgMar w:top="1135" w:right="1417" w:bottom="993" w:left="1417" w:header="708" w:footer="708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</w:t>
      </w:r>
      <w:r w:rsidR="00C546AF" w:rsidRPr="00B55F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A3A97" w:rsidRPr="00B55F82">
        <w:rPr>
          <w:rFonts w:asciiTheme="minorHAnsi" w:hAnsiTheme="minorHAnsi" w:cstheme="minorHAnsi"/>
          <w:b/>
          <w:bCs/>
          <w:sz w:val="22"/>
          <w:szCs w:val="22"/>
        </w:rPr>
        <w:t>Jakub Chełstowsk</w:t>
      </w:r>
      <w:r w:rsidR="00A243AE" w:rsidRPr="00B55F82"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bookmarkEnd w:id="0"/>
    <w:p w14:paraId="50326CA3" w14:textId="37C0CBB0" w:rsidR="00826D0F" w:rsidRPr="00B55F82" w:rsidRDefault="00826D0F" w:rsidP="00826D0F">
      <w:pPr>
        <w:rPr>
          <w:rFonts w:asciiTheme="minorHAnsi" w:hAnsiTheme="minorHAnsi" w:cstheme="minorHAnsi"/>
          <w:b/>
          <w:iCs/>
          <w:sz w:val="28"/>
        </w:rPr>
      </w:pPr>
      <w:r w:rsidRPr="00B55F82">
        <w:rPr>
          <w:rFonts w:asciiTheme="minorHAnsi" w:hAnsiTheme="minorHAnsi" w:cstheme="minorHAnsi"/>
          <w:b/>
          <w:iCs/>
          <w:sz w:val="28"/>
        </w:rPr>
        <w:lastRenderedPageBreak/>
        <w:t>Kryteria wyboru projekt</w:t>
      </w:r>
      <w:r w:rsidR="00900B63">
        <w:rPr>
          <w:rFonts w:asciiTheme="minorHAnsi" w:hAnsiTheme="minorHAnsi" w:cstheme="minorHAnsi"/>
          <w:b/>
          <w:iCs/>
          <w:sz w:val="28"/>
        </w:rPr>
        <w:t>u</w:t>
      </w:r>
      <w:r w:rsidRPr="00B55F82">
        <w:rPr>
          <w:rFonts w:asciiTheme="minorHAnsi" w:hAnsiTheme="minorHAnsi" w:cstheme="minorHAnsi"/>
          <w:b/>
          <w:iCs/>
          <w:sz w:val="28"/>
        </w:rPr>
        <w:t xml:space="preserve"> FE SL 2021-2027 Działanie </w:t>
      </w:r>
      <w:r w:rsidR="001C6097">
        <w:rPr>
          <w:rFonts w:asciiTheme="minorHAnsi" w:hAnsiTheme="minorHAnsi" w:cstheme="minorHAnsi"/>
          <w:b/>
          <w:iCs/>
          <w:sz w:val="28"/>
        </w:rPr>
        <w:t>FESL.0</w:t>
      </w:r>
      <w:r w:rsidRPr="00B55F82">
        <w:rPr>
          <w:rFonts w:asciiTheme="minorHAnsi" w:hAnsiTheme="minorHAnsi" w:cstheme="minorHAnsi"/>
          <w:b/>
          <w:iCs/>
          <w:sz w:val="28"/>
        </w:rPr>
        <w:t>1.</w:t>
      </w:r>
      <w:r w:rsidR="001C6097">
        <w:rPr>
          <w:rFonts w:asciiTheme="minorHAnsi" w:hAnsiTheme="minorHAnsi" w:cstheme="minorHAnsi"/>
          <w:b/>
          <w:iCs/>
          <w:sz w:val="28"/>
        </w:rPr>
        <w:t>0</w:t>
      </w:r>
      <w:r w:rsidRPr="00B55F82">
        <w:rPr>
          <w:rFonts w:asciiTheme="minorHAnsi" w:hAnsiTheme="minorHAnsi" w:cstheme="minorHAnsi"/>
          <w:b/>
          <w:iCs/>
          <w:sz w:val="28"/>
        </w:rPr>
        <w:t>9 Konkurencyjność przedsiębiorstw</w:t>
      </w:r>
      <w:r w:rsidR="001866C7" w:rsidRPr="00B55F82">
        <w:rPr>
          <w:rFonts w:asciiTheme="minorHAnsi" w:hAnsiTheme="minorHAnsi" w:cstheme="minorHAnsi"/>
          <w:b/>
          <w:iCs/>
          <w:sz w:val="28"/>
        </w:rPr>
        <w:t xml:space="preserve"> (IF)</w:t>
      </w:r>
    </w:p>
    <w:p w14:paraId="6BF9705F" w14:textId="77777777" w:rsidR="00826D0F" w:rsidRPr="00B55F82" w:rsidRDefault="00826D0F" w:rsidP="00826D0F">
      <w:pPr>
        <w:spacing w:after="0"/>
        <w:jc w:val="both"/>
        <w:rPr>
          <w:rFonts w:asciiTheme="minorHAnsi" w:hAnsiTheme="minorHAnsi" w:cstheme="minorHAnsi"/>
        </w:rPr>
      </w:pPr>
    </w:p>
    <w:p w14:paraId="5B58E84B" w14:textId="5DE1383C" w:rsidR="00826D0F" w:rsidRPr="00B55F82" w:rsidRDefault="00826D0F" w:rsidP="00826D0F">
      <w:pPr>
        <w:pStyle w:val="Legenda"/>
        <w:keepNext/>
        <w:spacing w:before="240"/>
        <w:jc w:val="both"/>
        <w:rPr>
          <w:rFonts w:cstheme="minorHAnsi"/>
          <w:b/>
          <w:i w:val="0"/>
          <w:color w:val="auto"/>
          <w:sz w:val="22"/>
          <w:szCs w:val="22"/>
        </w:rPr>
      </w:pPr>
      <w:r w:rsidRPr="00B55F82">
        <w:rPr>
          <w:rFonts w:cstheme="minorHAnsi"/>
          <w:i w:val="0"/>
          <w:color w:val="auto"/>
          <w:sz w:val="22"/>
          <w:szCs w:val="22"/>
        </w:rPr>
        <w:t xml:space="preserve">Wybór projektu dotyczy Działania </w:t>
      </w:r>
      <w:r w:rsidR="001C6097">
        <w:rPr>
          <w:rFonts w:cstheme="minorHAnsi"/>
          <w:i w:val="0"/>
          <w:color w:val="auto"/>
          <w:sz w:val="22"/>
          <w:szCs w:val="22"/>
        </w:rPr>
        <w:t>FESL.01</w:t>
      </w:r>
      <w:r w:rsidRPr="00B55F82">
        <w:rPr>
          <w:rFonts w:cstheme="minorHAnsi"/>
          <w:i w:val="0"/>
          <w:color w:val="auto"/>
          <w:sz w:val="22"/>
          <w:szCs w:val="22"/>
        </w:rPr>
        <w:t>.</w:t>
      </w:r>
      <w:r w:rsidR="001C6097">
        <w:rPr>
          <w:rFonts w:cstheme="minorHAnsi"/>
          <w:i w:val="0"/>
          <w:color w:val="auto"/>
          <w:sz w:val="22"/>
          <w:szCs w:val="22"/>
        </w:rPr>
        <w:t>0</w:t>
      </w:r>
      <w:r w:rsidRPr="00B55F82">
        <w:rPr>
          <w:rFonts w:cstheme="minorHAnsi"/>
          <w:i w:val="0"/>
          <w:color w:val="auto"/>
          <w:sz w:val="22"/>
          <w:szCs w:val="22"/>
        </w:rPr>
        <w:t xml:space="preserve">9 Konkurencyjność </w:t>
      </w:r>
      <w:r w:rsidR="00381F76" w:rsidRPr="00B55F82">
        <w:rPr>
          <w:rFonts w:cstheme="minorHAnsi"/>
          <w:i w:val="0"/>
          <w:color w:val="auto"/>
          <w:sz w:val="22"/>
          <w:szCs w:val="22"/>
        </w:rPr>
        <w:t>przedsiębiorstw</w:t>
      </w:r>
      <w:r w:rsidR="007C230F" w:rsidRPr="00B55F82">
        <w:rPr>
          <w:rFonts w:cstheme="minorHAnsi"/>
          <w:i w:val="0"/>
          <w:color w:val="auto"/>
          <w:sz w:val="22"/>
          <w:szCs w:val="22"/>
        </w:rPr>
        <w:t xml:space="preserve"> (IF)</w:t>
      </w:r>
      <w:r w:rsidRPr="00B55F82">
        <w:rPr>
          <w:rFonts w:cstheme="minorHAnsi"/>
          <w:i w:val="0"/>
          <w:color w:val="auto"/>
          <w:sz w:val="22"/>
          <w:szCs w:val="22"/>
        </w:rPr>
        <w:t xml:space="preserve"> w ramach Priorytetu </w:t>
      </w:r>
      <w:r w:rsidR="007E5FC5">
        <w:rPr>
          <w:rFonts w:cstheme="minorHAnsi"/>
          <w:i w:val="0"/>
          <w:color w:val="auto"/>
          <w:sz w:val="22"/>
          <w:szCs w:val="22"/>
        </w:rPr>
        <w:t>I</w:t>
      </w:r>
      <w:r w:rsidRPr="00B55F82">
        <w:rPr>
          <w:rFonts w:cstheme="minorHAnsi"/>
          <w:i w:val="0"/>
          <w:color w:val="auto"/>
          <w:sz w:val="22"/>
          <w:szCs w:val="22"/>
        </w:rPr>
        <w:t xml:space="preserve"> Fundusze Europejskie na </w:t>
      </w:r>
      <w:r w:rsidR="007E5FC5">
        <w:rPr>
          <w:rFonts w:cstheme="minorHAnsi"/>
          <w:i w:val="0"/>
          <w:color w:val="auto"/>
          <w:sz w:val="22"/>
          <w:szCs w:val="22"/>
        </w:rPr>
        <w:t>i</w:t>
      </w:r>
      <w:r w:rsidRPr="00B55F82">
        <w:rPr>
          <w:rFonts w:cstheme="minorHAnsi"/>
          <w:i w:val="0"/>
          <w:color w:val="auto"/>
          <w:sz w:val="22"/>
          <w:szCs w:val="22"/>
        </w:rPr>
        <w:t xml:space="preserve">nteligentny </w:t>
      </w:r>
      <w:r w:rsidR="007E5FC5">
        <w:rPr>
          <w:rFonts w:cstheme="minorHAnsi"/>
          <w:i w:val="0"/>
          <w:color w:val="auto"/>
          <w:sz w:val="22"/>
          <w:szCs w:val="22"/>
        </w:rPr>
        <w:t>r</w:t>
      </w:r>
      <w:r w:rsidRPr="00B55F82">
        <w:rPr>
          <w:rFonts w:cstheme="minorHAnsi"/>
          <w:i w:val="0"/>
          <w:color w:val="auto"/>
          <w:sz w:val="22"/>
          <w:szCs w:val="22"/>
        </w:rPr>
        <w:t>ozwój. Wsparcie będzie kierowane do przedsiębiorców w formie pożyczki. Pożyczka będzie oferowana na warunkach rynkowych lub korzystniejszych niż rynkowe.</w:t>
      </w:r>
    </w:p>
    <w:p w14:paraId="7CD461C7" w14:textId="77777777" w:rsidR="00826D0F" w:rsidRPr="00B55F82" w:rsidRDefault="00826D0F" w:rsidP="00826D0F">
      <w:pPr>
        <w:spacing w:after="0"/>
        <w:jc w:val="both"/>
        <w:rPr>
          <w:rFonts w:asciiTheme="minorHAnsi" w:hAnsiTheme="minorHAnsi" w:cstheme="minorHAnsi"/>
        </w:rPr>
      </w:pPr>
    </w:p>
    <w:p w14:paraId="7AB81C01" w14:textId="77777777" w:rsidR="00826D0F" w:rsidRPr="00B55F82" w:rsidRDefault="00826D0F" w:rsidP="00826D0F">
      <w:pPr>
        <w:spacing w:after="0"/>
        <w:jc w:val="both"/>
        <w:rPr>
          <w:rFonts w:asciiTheme="minorHAnsi" w:hAnsiTheme="minorHAnsi" w:cstheme="minorHAnsi"/>
        </w:rPr>
      </w:pPr>
      <w:r w:rsidRPr="00B55F82">
        <w:rPr>
          <w:rFonts w:asciiTheme="minorHAnsi" w:hAnsiTheme="minorHAnsi" w:cstheme="minorHAnsi"/>
        </w:rPr>
        <w:t xml:space="preserve">Wybór Wnioskodawcy odbywa się zgodnie z art. 59 ust. 3 lit. c) rozporządzenia ramowego nr 2021/1060 z dnia 24 czerwca 2021 r. Wnioskodawca będzie wdrażał instrument finansowy pełniąc rolę Funduszu Powierniczego i dokona wyboru podmiotów finansowych, które w roli funduszy szczegółowych będą udzielały wsparcia odbiorcom ostatecznym. </w:t>
      </w:r>
    </w:p>
    <w:p w14:paraId="0417575D" w14:textId="77777777" w:rsidR="00826D0F" w:rsidRPr="00B55F82" w:rsidRDefault="00826D0F" w:rsidP="00826D0F">
      <w:pPr>
        <w:pStyle w:val="Legenda"/>
        <w:keepNext/>
        <w:spacing w:before="240"/>
        <w:jc w:val="both"/>
        <w:rPr>
          <w:rFonts w:cstheme="minorHAnsi"/>
          <w:b/>
          <w:color w:val="auto"/>
          <w:sz w:val="22"/>
          <w:szCs w:val="22"/>
        </w:rPr>
      </w:pPr>
      <w:r w:rsidRPr="00B55F82">
        <w:rPr>
          <w:rFonts w:cstheme="minorHAnsi"/>
          <w:b/>
          <w:color w:val="auto"/>
          <w:sz w:val="22"/>
          <w:szCs w:val="22"/>
        </w:rPr>
        <w:t xml:space="preserve">Tabela </w:t>
      </w:r>
      <w:r w:rsidRPr="00B55F82">
        <w:rPr>
          <w:rFonts w:cstheme="minorHAnsi"/>
          <w:b/>
          <w:color w:val="auto"/>
          <w:sz w:val="22"/>
          <w:szCs w:val="22"/>
        </w:rPr>
        <w:fldChar w:fldCharType="begin"/>
      </w:r>
      <w:r w:rsidRPr="00B55F82">
        <w:rPr>
          <w:rFonts w:cstheme="minorHAnsi"/>
          <w:b/>
          <w:color w:val="auto"/>
          <w:sz w:val="22"/>
          <w:szCs w:val="22"/>
        </w:rPr>
        <w:instrText xml:space="preserve"> SEQ Tabela \* ARABIC </w:instrText>
      </w:r>
      <w:r w:rsidRPr="00B55F82">
        <w:rPr>
          <w:rFonts w:cstheme="minorHAnsi"/>
          <w:b/>
          <w:color w:val="auto"/>
          <w:sz w:val="22"/>
          <w:szCs w:val="22"/>
        </w:rPr>
        <w:fldChar w:fldCharType="separate"/>
      </w:r>
      <w:r w:rsidRPr="00B55F82">
        <w:rPr>
          <w:rFonts w:cstheme="minorHAnsi"/>
          <w:b/>
          <w:noProof/>
          <w:color w:val="auto"/>
          <w:sz w:val="22"/>
          <w:szCs w:val="22"/>
        </w:rPr>
        <w:t>1</w:t>
      </w:r>
      <w:r w:rsidRPr="00B55F82">
        <w:rPr>
          <w:rFonts w:cstheme="minorHAnsi"/>
          <w:b/>
          <w:color w:val="auto"/>
          <w:sz w:val="22"/>
          <w:szCs w:val="22"/>
        </w:rPr>
        <w:fldChar w:fldCharType="end"/>
      </w:r>
      <w:r w:rsidRPr="00B55F82">
        <w:rPr>
          <w:rFonts w:cstheme="minorHAnsi"/>
          <w:b/>
          <w:color w:val="auto"/>
          <w:sz w:val="22"/>
          <w:szCs w:val="22"/>
        </w:rPr>
        <w:t>. Kryteria formalne</w:t>
      </w:r>
    </w:p>
    <w:p w14:paraId="0E7F4E26" w14:textId="77777777" w:rsidR="00826D0F" w:rsidRPr="00B55F82" w:rsidRDefault="00826D0F" w:rsidP="00826D0F">
      <w:pPr>
        <w:jc w:val="both"/>
        <w:rPr>
          <w:rFonts w:asciiTheme="minorHAnsi" w:hAnsiTheme="minorHAnsi" w:cstheme="minorHAnsi"/>
        </w:rPr>
      </w:pPr>
      <w:r w:rsidRPr="00B55F82">
        <w:rPr>
          <w:rFonts w:asciiTheme="minorHAnsi" w:hAnsiTheme="minorHAnsi" w:cstheme="minorHAnsi"/>
          <w:u w:val="single"/>
        </w:rPr>
        <w:t>Sposób dokonywania oceny formalnej</w:t>
      </w:r>
      <w:r w:rsidRPr="00B55F82">
        <w:rPr>
          <w:rFonts w:asciiTheme="minorHAnsi" w:hAnsiTheme="minorHAnsi" w:cstheme="minorHAnsi"/>
        </w:rPr>
        <w:t>:</w:t>
      </w:r>
    </w:p>
    <w:p w14:paraId="44E5C698" w14:textId="77777777" w:rsidR="00826D0F" w:rsidRPr="00B55F82" w:rsidRDefault="00826D0F" w:rsidP="00826D0F">
      <w:pPr>
        <w:jc w:val="both"/>
        <w:rPr>
          <w:rFonts w:asciiTheme="minorHAnsi" w:hAnsiTheme="minorHAnsi" w:cstheme="minorHAnsi"/>
        </w:rPr>
      </w:pPr>
      <w:r w:rsidRPr="00B55F82">
        <w:rPr>
          <w:rFonts w:asciiTheme="minorHAnsi" w:hAnsiTheme="minorHAnsi" w:cstheme="minorHAnsi"/>
        </w:rPr>
        <w:t xml:space="preserve">Do etapu oceny formalnej zostanie dopuszczony jedynie podmiot, do którego zostało wysłane wezwanie do złożenia wniosku o dofinansowanie. </w:t>
      </w:r>
    </w:p>
    <w:p w14:paraId="3E00974D" w14:textId="77777777" w:rsidR="00826D0F" w:rsidRPr="00B55F82" w:rsidRDefault="00826D0F" w:rsidP="00826D0F">
      <w:pPr>
        <w:jc w:val="both"/>
        <w:rPr>
          <w:rFonts w:asciiTheme="minorHAnsi" w:hAnsiTheme="minorHAnsi" w:cstheme="minorHAnsi"/>
        </w:rPr>
      </w:pPr>
      <w:r w:rsidRPr="00B55F82">
        <w:rPr>
          <w:rFonts w:asciiTheme="minorHAnsi" w:hAnsiTheme="minorHAnsi" w:cstheme="minorHAnsi"/>
        </w:rPr>
        <w:t>Ocena formalna wniosku o dofinansowanie projektu przeprowadzana jest za pomocą kryteriów formalnych, ocena jest przeprowadzana w ramach kryteriów zerojedynkowych. W razie stwierdzenia w trakcie oceny we wniosku o dofinansowanie błędów o charakterze formalnym IZ wzywa wnioskodawcę do uzupełnienia wniosku w wyznaczonym terminie. Niespełnienie któregokolwiek z kryteriów oceny formalnej powoduje odrzucenie wniosku o dofinansowanie, na skutek czego projekt nie może być skierowany do kolejnego etapu oceny.</w:t>
      </w:r>
    </w:p>
    <w:p w14:paraId="37B935E5" w14:textId="77777777" w:rsidR="00826D0F" w:rsidRPr="008C597C" w:rsidRDefault="00826D0F" w:rsidP="00826D0F"/>
    <w:tbl>
      <w:tblPr>
        <w:tblStyle w:val="Tabela-Siatka"/>
        <w:tblpPr w:leftFromText="141" w:rightFromText="141" w:horzAnchor="margin" w:tblpY="-555"/>
        <w:tblW w:w="14471" w:type="dxa"/>
        <w:tblLook w:val="04A0" w:firstRow="1" w:lastRow="0" w:firstColumn="1" w:lastColumn="0" w:noHBand="0" w:noVBand="1"/>
        <w:tblCaption w:val="Kryteria wyboru projektów FE SL 2021-2027"/>
      </w:tblPr>
      <w:tblGrid>
        <w:gridCol w:w="605"/>
        <w:gridCol w:w="3165"/>
        <w:gridCol w:w="4023"/>
        <w:gridCol w:w="2265"/>
        <w:gridCol w:w="2202"/>
        <w:gridCol w:w="2211"/>
      </w:tblGrid>
      <w:tr w:rsidR="00826D0F" w:rsidRPr="00B55F82" w14:paraId="79ABF34B" w14:textId="77777777" w:rsidTr="00F91102">
        <w:trPr>
          <w:tblHeader/>
        </w:trPr>
        <w:tc>
          <w:tcPr>
            <w:tcW w:w="605" w:type="dxa"/>
            <w:shd w:val="clear" w:color="auto" w:fill="BFBFBF" w:themeFill="background1" w:themeFillShade="BF"/>
          </w:tcPr>
          <w:p w14:paraId="5755729F" w14:textId="77777777" w:rsidR="00826D0F" w:rsidRPr="00B55F82" w:rsidRDefault="00826D0F" w:rsidP="00F91102">
            <w:pPr>
              <w:pStyle w:val="Akapitzlist"/>
              <w:ind w:left="22"/>
              <w:rPr>
                <w:rFonts w:cstheme="minorHAnsi"/>
              </w:rPr>
            </w:pPr>
            <w:r w:rsidRPr="00B55F82">
              <w:rPr>
                <w:rFonts w:cstheme="minorHAnsi"/>
              </w:rPr>
              <w:lastRenderedPageBreak/>
              <w:t>L.p.</w:t>
            </w:r>
          </w:p>
        </w:tc>
        <w:tc>
          <w:tcPr>
            <w:tcW w:w="3165" w:type="dxa"/>
            <w:shd w:val="clear" w:color="auto" w:fill="BFBFBF" w:themeFill="background1" w:themeFillShade="BF"/>
          </w:tcPr>
          <w:p w14:paraId="041B3534" w14:textId="77777777" w:rsidR="00826D0F" w:rsidRPr="00B55F82" w:rsidRDefault="00826D0F" w:rsidP="00F91102">
            <w:pPr>
              <w:rPr>
                <w:rFonts w:cstheme="minorHAnsi"/>
              </w:rPr>
            </w:pPr>
            <w:r w:rsidRPr="00B55F82">
              <w:rPr>
                <w:rFonts w:cstheme="minorHAnsi"/>
                <w:b/>
              </w:rPr>
              <w:t>Nazwa kryterium</w:t>
            </w:r>
          </w:p>
        </w:tc>
        <w:tc>
          <w:tcPr>
            <w:tcW w:w="4023" w:type="dxa"/>
            <w:shd w:val="clear" w:color="auto" w:fill="BFBFBF" w:themeFill="background1" w:themeFillShade="BF"/>
          </w:tcPr>
          <w:p w14:paraId="22D4AD89" w14:textId="77777777" w:rsidR="00826D0F" w:rsidRPr="00B55F82" w:rsidRDefault="00826D0F" w:rsidP="00F91102">
            <w:pPr>
              <w:rPr>
                <w:rFonts w:cstheme="minorHAnsi"/>
                <w:b/>
              </w:rPr>
            </w:pPr>
            <w:r w:rsidRPr="00B55F82">
              <w:rPr>
                <w:rFonts w:cstheme="minorHAnsi"/>
                <w:b/>
              </w:rPr>
              <w:t>Definicja kryterium</w:t>
            </w:r>
          </w:p>
          <w:p w14:paraId="54122999" w14:textId="77777777" w:rsidR="00826D0F" w:rsidRPr="00B55F82" w:rsidRDefault="00826D0F" w:rsidP="00F91102">
            <w:pPr>
              <w:rPr>
                <w:rFonts w:cstheme="minorHAnsi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</w:tcPr>
          <w:p w14:paraId="57D2C1B3" w14:textId="10E6D012" w:rsidR="00826D0F" w:rsidRPr="00B55F82" w:rsidRDefault="00826D0F" w:rsidP="00F91102">
            <w:pPr>
              <w:rPr>
                <w:rFonts w:cstheme="minorHAnsi"/>
                <w:sz w:val="16"/>
                <w:szCs w:val="16"/>
              </w:rPr>
            </w:pPr>
            <w:r w:rsidRPr="00B55F82">
              <w:rPr>
                <w:rFonts w:cstheme="minorHAnsi"/>
                <w:sz w:val="16"/>
                <w:szCs w:val="16"/>
              </w:rPr>
              <w:t>Czy spełnienie kryterium jest konieczne do przyznania dofinansowania?</w:t>
            </w:r>
          </w:p>
        </w:tc>
        <w:tc>
          <w:tcPr>
            <w:tcW w:w="2202" w:type="dxa"/>
            <w:shd w:val="clear" w:color="auto" w:fill="BFBFBF" w:themeFill="background1" w:themeFillShade="BF"/>
          </w:tcPr>
          <w:p w14:paraId="4B5DD82D" w14:textId="147915CD" w:rsidR="00826D0F" w:rsidRPr="00B55F82" w:rsidRDefault="00826D0F" w:rsidP="00F91102">
            <w:pPr>
              <w:rPr>
                <w:rFonts w:cstheme="minorHAnsi"/>
                <w:sz w:val="16"/>
                <w:szCs w:val="16"/>
              </w:rPr>
            </w:pPr>
            <w:r w:rsidRPr="00B55F82">
              <w:rPr>
                <w:rFonts w:cstheme="minorHAnsi"/>
                <w:sz w:val="16"/>
                <w:szCs w:val="16"/>
              </w:rPr>
              <w:t>Sposób oceny kryterium</w:t>
            </w:r>
          </w:p>
        </w:tc>
        <w:tc>
          <w:tcPr>
            <w:tcW w:w="2211" w:type="dxa"/>
            <w:shd w:val="clear" w:color="auto" w:fill="BFBFBF" w:themeFill="background1" w:themeFillShade="BF"/>
          </w:tcPr>
          <w:p w14:paraId="6A3B229E" w14:textId="01C8EEAD" w:rsidR="00826D0F" w:rsidRPr="00B55F82" w:rsidRDefault="00826D0F" w:rsidP="00F91102">
            <w:pPr>
              <w:rPr>
                <w:rFonts w:cstheme="minorHAnsi"/>
                <w:sz w:val="16"/>
                <w:szCs w:val="16"/>
              </w:rPr>
            </w:pPr>
            <w:r w:rsidRPr="00B55F82">
              <w:rPr>
                <w:rFonts w:cstheme="minorHAnsi"/>
                <w:sz w:val="16"/>
                <w:szCs w:val="16"/>
              </w:rPr>
              <w:t>Szczególne znaczenie kryterium</w:t>
            </w:r>
          </w:p>
        </w:tc>
      </w:tr>
      <w:tr w:rsidR="00826D0F" w:rsidRPr="00B55F82" w14:paraId="20F43FB9" w14:textId="77777777" w:rsidTr="00F91102">
        <w:trPr>
          <w:tblHeader/>
        </w:trPr>
        <w:tc>
          <w:tcPr>
            <w:tcW w:w="605" w:type="dxa"/>
          </w:tcPr>
          <w:p w14:paraId="54A173AA" w14:textId="77777777" w:rsidR="00826D0F" w:rsidRPr="00B55F82" w:rsidRDefault="00826D0F" w:rsidP="006D4282">
            <w:pPr>
              <w:pStyle w:val="Akapitzlist"/>
              <w:numPr>
                <w:ilvl w:val="0"/>
                <w:numId w:val="2"/>
              </w:numPr>
              <w:spacing w:after="0"/>
              <w:ind w:left="452"/>
              <w:rPr>
                <w:rFonts w:cstheme="minorHAnsi"/>
              </w:rPr>
            </w:pPr>
          </w:p>
        </w:tc>
        <w:tc>
          <w:tcPr>
            <w:tcW w:w="3165" w:type="dxa"/>
          </w:tcPr>
          <w:p w14:paraId="50DF1E7E" w14:textId="77777777" w:rsidR="00826D0F" w:rsidRPr="00B55F82" w:rsidRDefault="00826D0F" w:rsidP="00F91102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Poprawność i kompletność wniosku</w:t>
            </w:r>
          </w:p>
          <w:p w14:paraId="1AA1AA88" w14:textId="77777777" w:rsidR="00826D0F" w:rsidRPr="00B55F82" w:rsidRDefault="00826D0F" w:rsidP="00F91102">
            <w:pPr>
              <w:rPr>
                <w:rFonts w:cstheme="minorHAnsi"/>
              </w:rPr>
            </w:pPr>
          </w:p>
        </w:tc>
        <w:tc>
          <w:tcPr>
            <w:tcW w:w="4023" w:type="dxa"/>
          </w:tcPr>
          <w:p w14:paraId="4717E651" w14:textId="77777777" w:rsidR="00826D0F" w:rsidRPr="00D030D5" w:rsidRDefault="00826D0F" w:rsidP="00F91102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 xml:space="preserve">- </w:t>
            </w:r>
            <w:r w:rsidRPr="00D030D5">
              <w:rPr>
                <w:rFonts w:cstheme="minorHAnsi"/>
              </w:rPr>
              <w:t>Wniosek złożono w odpowiedzi na właściwe wezwanie do składania wniosku.</w:t>
            </w:r>
          </w:p>
          <w:p w14:paraId="7AEB9321" w14:textId="77777777" w:rsidR="00826D0F" w:rsidRPr="00D030D5" w:rsidRDefault="00826D0F" w:rsidP="00F91102">
            <w:pPr>
              <w:rPr>
                <w:rFonts w:cstheme="minorHAnsi"/>
              </w:rPr>
            </w:pPr>
            <w:r w:rsidRPr="00D030D5">
              <w:rPr>
                <w:rFonts w:cstheme="minorHAnsi"/>
              </w:rPr>
              <w:t>-  Wniosek złożono w terminie, instytucji i w miejscu określonym w wezwaniu do złożenia wniosku.</w:t>
            </w:r>
          </w:p>
          <w:p w14:paraId="3A7853CC" w14:textId="77777777" w:rsidR="00826D0F" w:rsidRPr="00D030D5" w:rsidRDefault="00826D0F" w:rsidP="00F91102">
            <w:pPr>
              <w:rPr>
                <w:rFonts w:cstheme="minorHAnsi"/>
              </w:rPr>
            </w:pPr>
            <w:r w:rsidRPr="00D030D5">
              <w:rPr>
                <w:rFonts w:cstheme="minorHAnsi"/>
              </w:rPr>
              <w:t xml:space="preserve">- Wniosek sporządzono na właściwym i obowiązującym formularzu na dzień składania wniosku o dofinansowania. </w:t>
            </w:r>
          </w:p>
          <w:p w14:paraId="353387DC" w14:textId="77777777" w:rsidR="00826D0F" w:rsidRPr="00D030D5" w:rsidRDefault="00826D0F" w:rsidP="00F91102">
            <w:pPr>
              <w:rPr>
                <w:rFonts w:cstheme="minorHAnsi"/>
              </w:rPr>
            </w:pPr>
            <w:r w:rsidRPr="00D030D5">
              <w:rPr>
                <w:rFonts w:cstheme="minorHAnsi"/>
              </w:rPr>
              <w:t>- Wniosek i załączniki do wniosku są kompletne (zgodnie z wezwaniem do składania wniosku).</w:t>
            </w:r>
          </w:p>
          <w:p w14:paraId="14EFD918" w14:textId="77777777" w:rsidR="00826D0F" w:rsidRPr="00B55F82" w:rsidRDefault="00826D0F" w:rsidP="00F91102">
            <w:pPr>
              <w:rPr>
                <w:rFonts w:cstheme="minorHAnsi"/>
              </w:rPr>
            </w:pPr>
            <w:r w:rsidRPr="00D030D5">
              <w:rPr>
                <w:rFonts w:cstheme="minorHAnsi"/>
              </w:rPr>
              <w:t>- Wniosek został wypełniony prawidłowo (w szczególności czy wszystkie pola we wniosku są wypełnione, a opisy we wniosku i w załącznikach są ze sobą spójne i nie zawierają sprzecznych ze sobą kwestii).</w:t>
            </w:r>
          </w:p>
        </w:tc>
        <w:tc>
          <w:tcPr>
            <w:tcW w:w="2265" w:type="dxa"/>
          </w:tcPr>
          <w:p w14:paraId="50681CD9" w14:textId="77777777" w:rsidR="00826D0F" w:rsidRPr="00B55F82" w:rsidRDefault="00826D0F" w:rsidP="00F91102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TAK</w:t>
            </w:r>
          </w:p>
          <w:p w14:paraId="45279456" w14:textId="77777777" w:rsidR="00826D0F" w:rsidRPr="00B55F82" w:rsidRDefault="00826D0F" w:rsidP="00F91102">
            <w:pPr>
              <w:rPr>
                <w:rFonts w:cstheme="minorHAnsi"/>
              </w:rPr>
            </w:pPr>
          </w:p>
          <w:p w14:paraId="1A72897A" w14:textId="77777777" w:rsidR="00826D0F" w:rsidRPr="00B55F82" w:rsidRDefault="00826D0F" w:rsidP="00F91102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Podlega uzupełnieniom w zakresie koniecznym do oceny spełnienia kryterium</w:t>
            </w:r>
          </w:p>
        </w:tc>
        <w:tc>
          <w:tcPr>
            <w:tcW w:w="2202" w:type="dxa"/>
          </w:tcPr>
          <w:p w14:paraId="3710C5D1" w14:textId="77777777" w:rsidR="00826D0F" w:rsidRPr="00B55F82" w:rsidRDefault="00826D0F" w:rsidP="00F91102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0-1</w:t>
            </w:r>
          </w:p>
        </w:tc>
        <w:tc>
          <w:tcPr>
            <w:tcW w:w="2211" w:type="dxa"/>
          </w:tcPr>
          <w:p w14:paraId="1981BB1E" w14:textId="77777777" w:rsidR="00826D0F" w:rsidRPr="00B55F82" w:rsidRDefault="00826D0F" w:rsidP="00F91102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Nie dotyczy</w:t>
            </w:r>
          </w:p>
        </w:tc>
      </w:tr>
      <w:tr w:rsidR="00826D0F" w:rsidRPr="00B55F82" w14:paraId="656BEE50" w14:textId="77777777" w:rsidTr="00F91102">
        <w:trPr>
          <w:tblHeader/>
        </w:trPr>
        <w:tc>
          <w:tcPr>
            <w:tcW w:w="605" w:type="dxa"/>
          </w:tcPr>
          <w:p w14:paraId="553D5D2B" w14:textId="77777777" w:rsidR="00826D0F" w:rsidRPr="00B55F82" w:rsidRDefault="00826D0F" w:rsidP="006D4282">
            <w:pPr>
              <w:pStyle w:val="Akapitzlist"/>
              <w:numPr>
                <w:ilvl w:val="0"/>
                <w:numId w:val="2"/>
              </w:numPr>
              <w:spacing w:after="0"/>
              <w:ind w:left="452"/>
              <w:rPr>
                <w:rFonts w:cstheme="minorHAnsi"/>
              </w:rPr>
            </w:pPr>
          </w:p>
        </w:tc>
        <w:tc>
          <w:tcPr>
            <w:tcW w:w="3165" w:type="dxa"/>
          </w:tcPr>
          <w:p w14:paraId="2E2C26F8" w14:textId="77777777" w:rsidR="00826D0F" w:rsidRPr="00B55F82" w:rsidRDefault="00826D0F" w:rsidP="00F91102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Kwalifikowalność projektu</w:t>
            </w:r>
          </w:p>
          <w:p w14:paraId="6EDFC498" w14:textId="77777777" w:rsidR="00826D0F" w:rsidRPr="00B55F82" w:rsidRDefault="00826D0F" w:rsidP="00F91102">
            <w:pPr>
              <w:rPr>
                <w:rFonts w:cstheme="minorHAnsi"/>
              </w:rPr>
            </w:pPr>
          </w:p>
          <w:p w14:paraId="1985E685" w14:textId="77777777" w:rsidR="00826D0F" w:rsidRPr="00B55F82" w:rsidRDefault="00826D0F" w:rsidP="00F91102">
            <w:pPr>
              <w:rPr>
                <w:rFonts w:cstheme="minorHAnsi"/>
              </w:rPr>
            </w:pPr>
          </w:p>
        </w:tc>
        <w:tc>
          <w:tcPr>
            <w:tcW w:w="4023" w:type="dxa"/>
          </w:tcPr>
          <w:p w14:paraId="40E933FD" w14:textId="77777777" w:rsidR="00826D0F" w:rsidRPr="00B55F82" w:rsidRDefault="00826D0F" w:rsidP="00F91102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 xml:space="preserve">- Projekt jest zgodny z celami danego działania i uwarunkowaniami zapisanymi w aktualnie obowiązującym programie FE SL 2021-2027 oraz </w:t>
            </w:r>
            <w:proofErr w:type="spellStart"/>
            <w:r w:rsidRPr="00B55F82">
              <w:rPr>
                <w:rFonts w:cstheme="minorHAnsi"/>
              </w:rPr>
              <w:t>eSZOP</w:t>
            </w:r>
            <w:proofErr w:type="spellEnd"/>
            <w:r w:rsidRPr="00B55F82">
              <w:rPr>
                <w:rFonts w:cstheme="minorHAnsi"/>
              </w:rPr>
              <w:t>.</w:t>
            </w:r>
          </w:p>
          <w:p w14:paraId="4D7C492D" w14:textId="77777777" w:rsidR="00826D0F" w:rsidRPr="00B55F82" w:rsidRDefault="00826D0F" w:rsidP="00F91102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lastRenderedPageBreak/>
              <w:t>- Projekt zakłada osiągnięcie wartości docelowych wskaźników FE SL 2021-2027 właściwych dla działania w ramach realizowanego projektu zgodnie z informacjami zawartymi w wezwaniu do złożenia wniosku o dofinansowanie.</w:t>
            </w:r>
          </w:p>
          <w:p w14:paraId="34101C24" w14:textId="77777777" w:rsidR="00826D0F" w:rsidRPr="00B55F82" w:rsidRDefault="00826D0F" w:rsidP="00F91102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- Okres realizacji projektu jest zgodny z okresem kwalifikowalności określonym w Rozporządzeniu Parlamentu Europejskiego i Rady (UE) nr 2021/1060 z dnia 24 czerwca 2021 r.</w:t>
            </w:r>
          </w:p>
          <w:p w14:paraId="69144DEB" w14:textId="77777777" w:rsidR="00826D0F" w:rsidRPr="00B55F82" w:rsidRDefault="00826D0F" w:rsidP="00F91102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- Wnioskodawca zakłada w ramach realizacji projektu ponoszenie wydatków, które będą stanowiły wydatki kwalifikowalne zgodnie z zasadami kwalifikowalności określonymi w Rozporządzeniu Parlamentu Europejskiego i Rady (UE) nr 2021/1060 z dnia 24 czerwca 2021 r.</w:t>
            </w:r>
          </w:p>
          <w:p w14:paraId="4AFE1D17" w14:textId="77777777" w:rsidR="00826D0F" w:rsidRPr="00B55F82" w:rsidRDefault="00826D0F" w:rsidP="00F91102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 xml:space="preserve">- Wkład własny w projekcie został określony prawidłowo zgodnie z wezwaniem do złożenia wniosku. </w:t>
            </w:r>
          </w:p>
        </w:tc>
        <w:tc>
          <w:tcPr>
            <w:tcW w:w="2265" w:type="dxa"/>
          </w:tcPr>
          <w:p w14:paraId="11AEEAB4" w14:textId="77777777" w:rsidR="00826D0F" w:rsidRPr="00B55F82" w:rsidRDefault="00826D0F" w:rsidP="00F91102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lastRenderedPageBreak/>
              <w:t>TAK</w:t>
            </w:r>
          </w:p>
          <w:p w14:paraId="7E6EABB7" w14:textId="77777777" w:rsidR="00826D0F" w:rsidRPr="00B55F82" w:rsidRDefault="00826D0F" w:rsidP="00F91102">
            <w:pPr>
              <w:rPr>
                <w:rFonts w:cstheme="minorHAnsi"/>
              </w:rPr>
            </w:pPr>
          </w:p>
          <w:p w14:paraId="76BE91C0" w14:textId="77777777" w:rsidR="00826D0F" w:rsidRPr="00B55F82" w:rsidRDefault="00826D0F" w:rsidP="00F91102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 xml:space="preserve">Podlega uzupełnieniom w </w:t>
            </w:r>
            <w:r w:rsidRPr="00B55F82">
              <w:rPr>
                <w:rFonts w:cstheme="minorHAnsi"/>
              </w:rPr>
              <w:lastRenderedPageBreak/>
              <w:t>zakresie koniecznym do oceny spełnienia kryterium</w:t>
            </w:r>
          </w:p>
        </w:tc>
        <w:tc>
          <w:tcPr>
            <w:tcW w:w="2202" w:type="dxa"/>
          </w:tcPr>
          <w:p w14:paraId="07EA5FC6" w14:textId="77777777" w:rsidR="00826D0F" w:rsidRPr="00B55F82" w:rsidRDefault="00826D0F" w:rsidP="00F91102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lastRenderedPageBreak/>
              <w:t>0-1</w:t>
            </w:r>
          </w:p>
        </w:tc>
        <w:tc>
          <w:tcPr>
            <w:tcW w:w="2211" w:type="dxa"/>
          </w:tcPr>
          <w:p w14:paraId="4568ED7F" w14:textId="77777777" w:rsidR="00826D0F" w:rsidRPr="00B55F82" w:rsidRDefault="00826D0F" w:rsidP="00F91102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Nie dotyczy</w:t>
            </w:r>
          </w:p>
        </w:tc>
      </w:tr>
      <w:tr w:rsidR="00826D0F" w:rsidRPr="00B55F82" w14:paraId="1822ECA6" w14:textId="77777777" w:rsidTr="00F91102">
        <w:trPr>
          <w:tblHeader/>
        </w:trPr>
        <w:tc>
          <w:tcPr>
            <w:tcW w:w="605" w:type="dxa"/>
          </w:tcPr>
          <w:p w14:paraId="78A25058" w14:textId="77777777" w:rsidR="00826D0F" w:rsidRPr="00B55F82" w:rsidRDefault="00826D0F" w:rsidP="006D4282">
            <w:pPr>
              <w:pStyle w:val="Akapitzlist"/>
              <w:numPr>
                <w:ilvl w:val="0"/>
                <w:numId w:val="2"/>
              </w:numPr>
              <w:spacing w:after="0"/>
              <w:ind w:left="452"/>
              <w:rPr>
                <w:rFonts w:cstheme="minorHAnsi"/>
              </w:rPr>
            </w:pPr>
          </w:p>
        </w:tc>
        <w:tc>
          <w:tcPr>
            <w:tcW w:w="3165" w:type="dxa"/>
          </w:tcPr>
          <w:p w14:paraId="14098038" w14:textId="3ECB0624" w:rsidR="00826D0F" w:rsidRPr="00B55F82" w:rsidRDefault="00900B63" w:rsidP="00F91102">
            <w:pPr>
              <w:rPr>
                <w:rFonts w:cstheme="minorHAnsi"/>
              </w:rPr>
            </w:pPr>
            <w:r w:rsidRPr="00900B63">
              <w:rPr>
                <w:rFonts w:cstheme="minorHAnsi"/>
              </w:rPr>
              <w:t xml:space="preserve">Zgodność projektu z zasadą równości kobiet i mężczyzn </w:t>
            </w:r>
          </w:p>
        </w:tc>
        <w:tc>
          <w:tcPr>
            <w:tcW w:w="4023" w:type="dxa"/>
          </w:tcPr>
          <w:p w14:paraId="3FA0BC60" w14:textId="4FAA5FB7" w:rsidR="007E5FC5" w:rsidRDefault="007E5FC5" w:rsidP="00D030D5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Wnioskodawca zapewnia, że projekt będzie realizowany zgodnie z zasadą równości kobiet i mężczyzn na każdym poziomie wdrażania instrumentu </w:t>
            </w:r>
            <w:r>
              <w:rPr>
                <w:rFonts w:eastAsia="Times New Roman"/>
              </w:rPr>
              <w:lastRenderedPageBreak/>
              <w:t>finansowego</w:t>
            </w:r>
            <w:r w:rsidR="00376D8B">
              <w:rPr>
                <w:rFonts w:eastAsia="Times New Roman"/>
              </w:rPr>
              <w:t>, w tym na poziomie ostatecznego odbiorcy wsparcia zwrotnego</w:t>
            </w:r>
            <w:r>
              <w:rPr>
                <w:rFonts w:eastAsia="Times New Roman"/>
              </w:rPr>
              <w:t>.</w:t>
            </w:r>
          </w:p>
          <w:p w14:paraId="24489724" w14:textId="77777777" w:rsidR="00D030D5" w:rsidRPr="00D030D5" w:rsidRDefault="00D030D5" w:rsidP="00D030D5">
            <w:pPr>
              <w:spacing w:after="160"/>
              <w:rPr>
                <w:rFonts w:eastAsia="Times New Roman"/>
              </w:rPr>
            </w:pPr>
            <w:r w:rsidRPr="00D030D5">
              <w:rPr>
                <w:rFonts w:eastAsia="Times New Roman"/>
              </w:rPr>
              <w:t>Przez zgodność z zasadą równości kobiet i mężczyzn należy rozumieć pozytywny lub neutralny wpływ projektu na realizację tej zasady.</w:t>
            </w:r>
          </w:p>
          <w:p w14:paraId="7F201789" w14:textId="037FEE92" w:rsidR="00D030D5" w:rsidRPr="00D030D5" w:rsidRDefault="00D030D5" w:rsidP="00D030D5">
            <w:pPr>
              <w:spacing w:after="160"/>
              <w:rPr>
                <w:rFonts w:eastAsia="Times New Roman"/>
              </w:rPr>
            </w:pPr>
            <w:r w:rsidRPr="00D030D5">
              <w:rPr>
                <w:rFonts w:eastAsia="Times New Roman"/>
              </w:rPr>
              <w:t xml:space="preserve">Pozytywny wpływ to z jednej strony zaplanowanie takich działań w projekcie, które wpłyną na wyrównywanie szans danej płci będącej w gorszym położeniu (o ile takie nierówności zostały zdiagnozowane w projekcie). Z drugiej strony zaś stworzenie takich mechanizmów, aby na żadnym etapie wdrażania projektu nie dochodziło do dyskryminacji i wykluczenia ze względu na płeć. </w:t>
            </w:r>
          </w:p>
          <w:p w14:paraId="0D33E479" w14:textId="77777777" w:rsidR="00D030D5" w:rsidRPr="00D030D5" w:rsidRDefault="00D030D5" w:rsidP="00D030D5">
            <w:pPr>
              <w:spacing w:after="160"/>
              <w:rPr>
                <w:rFonts w:eastAsia="Times New Roman"/>
              </w:rPr>
            </w:pPr>
            <w:r w:rsidRPr="00D030D5">
              <w:rPr>
                <w:rFonts w:eastAsia="Times New Roman"/>
              </w:rPr>
              <w:t xml:space="preserve">Neutralność projektu w stosunku do realizacji zasady równości kobiet i mężczyzn dopuszczalna jest tylko w sytuacji, kiedy w ramach projektu wnioskodawca wskaże szczegółowe uzasadnienie, dlaczego dany projekt nie jest w stanie zrealizować jakichkolwiek działań wpływających na spełnienie ww. zasady, a uzasadnienie to zostanie uznane </w:t>
            </w:r>
            <w:r w:rsidRPr="00D030D5">
              <w:rPr>
                <w:rFonts w:eastAsia="Times New Roman"/>
              </w:rPr>
              <w:lastRenderedPageBreak/>
              <w:t xml:space="preserve">przez instytucję oceniającą projekt za adekwatne i wystarczające. </w:t>
            </w:r>
          </w:p>
          <w:p w14:paraId="1AD0B99F" w14:textId="77777777" w:rsidR="00D030D5" w:rsidRPr="00D030D5" w:rsidRDefault="00D030D5" w:rsidP="00D030D5">
            <w:pPr>
              <w:spacing w:after="160"/>
              <w:rPr>
                <w:rFonts w:eastAsia="Times New Roman"/>
              </w:rPr>
            </w:pPr>
            <w:r w:rsidRPr="00D030D5">
              <w:rPr>
                <w:rFonts w:eastAsia="Times New Roman"/>
              </w:rPr>
              <w:t>W przypadku negatywnego wpływu na realizację zasady równości kobiet i mężczyzn kryterium zostanie uznane za niespełnione.</w:t>
            </w:r>
          </w:p>
          <w:p w14:paraId="546DBD10" w14:textId="77777777" w:rsidR="00D030D5" w:rsidRPr="00D030D5" w:rsidRDefault="00D030D5" w:rsidP="00D030D5">
            <w:pPr>
              <w:spacing w:after="160"/>
              <w:rPr>
                <w:rFonts w:eastAsia="Times New Roman"/>
              </w:rPr>
            </w:pPr>
          </w:p>
          <w:p w14:paraId="530CBB43" w14:textId="10FAE06A" w:rsidR="00826D0F" w:rsidRPr="00D030D5" w:rsidRDefault="00D030D5" w:rsidP="00D030D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30D5">
              <w:rPr>
                <w:rFonts w:asciiTheme="minorHAnsi" w:hAnsiTheme="minorHAnsi" w:cstheme="minorHAnsi"/>
                <w:sz w:val="22"/>
                <w:szCs w:val="22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265" w:type="dxa"/>
          </w:tcPr>
          <w:p w14:paraId="2A78D08F" w14:textId="77777777" w:rsidR="00826D0F" w:rsidRPr="00B55F82" w:rsidRDefault="00826D0F" w:rsidP="00F91102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lastRenderedPageBreak/>
              <w:t>TAK</w:t>
            </w:r>
          </w:p>
          <w:p w14:paraId="77E5C1E8" w14:textId="77777777" w:rsidR="00826D0F" w:rsidRPr="00B55F82" w:rsidRDefault="00826D0F" w:rsidP="00F91102">
            <w:pPr>
              <w:rPr>
                <w:rFonts w:cstheme="minorHAnsi"/>
              </w:rPr>
            </w:pPr>
          </w:p>
          <w:p w14:paraId="444CD7D1" w14:textId="77777777" w:rsidR="00826D0F" w:rsidRPr="00B55F82" w:rsidRDefault="00826D0F" w:rsidP="00F91102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lastRenderedPageBreak/>
              <w:t>Podlega uzupełnieniom w zakresie koniecznym do oceny spełnienia kryterium</w:t>
            </w:r>
          </w:p>
        </w:tc>
        <w:tc>
          <w:tcPr>
            <w:tcW w:w="2202" w:type="dxa"/>
          </w:tcPr>
          <w:p w14:paraId="5300548D" w14:textId="77777777" w:rsidR="00826D0F" w:rsidRPr="00B55F82" w:rsidRDefault="00826D0F" w:rsidP="00F91102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lastRenderedPageBreak/>
              <w:t>0-1</w:t>
            </w:r>
          </w:p>
        </w:tc>
        <w:tc>
          <w:tcPr>
            <w:tcW w:w="2211" w:type="dxa"/>
          </w:tcPr>
          <w:p w14:paraId="4EB88714" w14:textId="77777777" w:rsidR="00826D0F" w:rsidRPr="00B55F82" w:rsidRDefault="00826D0F" w:rsidP="00F91102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Nie dotyczy</w:t>
            </w:r>
          </w:p>
        </w:tc>
      </w:tr>
      <w:tr w:rsidR="00900B63" w:rsidRPr="00B55F82" w14:paraId="16774EF5" w14:textId="77777777" w:rsidTr="00F91102">
        <w:trPr>
          <w:tblHeader/>
        </w:trPr>
        <w:tc>
          <w:tcPr>
            <w:tcW w:w="605" w:type="dxa"/>
          </w:tcPr>
          <w:p w14:paraId="3F244760" w14:textId="77777777" w:rsidR="00900B63" w:rsidRPr="00B55F82" w:rsidRDefault="00900B63" w:rsidP="00900B63">
            <w:pPr>
              <w:pStyle w:val="Akapitzlist"/>
              <w:numPr>
                <w:ilvl w:val="0"/>
                <w:numId w:val="2"/>
              </w:numPr>
              <w:spacing w:after="0"/>
              <w:ind w:left="452"/>
              <w:rPr>
                <w:rFonts w:cstheme="minorHAnsi"/>
              </w:rPr>
            </w:pPr>
          </w:p>
        </w:tc>
        <w:tc>
          <w:tcPr>
            <w:tcW w:w="3165" w:type="dxa"/>
          </w:tcPr>
          <w:p w14:paraId="6DD2FE45" w14:textId="1FA92F88" w:rsidR="00900B63" w:rsidRPr="00B55F82" w:rsidRDefault="00900B63" w:rsidP="00900B63">
            <w:pPr>
              <w:rPr>
                <w:rFonts w:cstheme="minorHAnsi"/>
              </w:rPr>
            </w:pPr>
            <w:r w:rsidRPr="00900B63">
              <w:rPr>
                <w:rFonts w:cstheme="minorHAnsi"/>
              </w:rPr>
              <w:t>Zgodność projektu z zasadą równości szans i niedyskryminacji, w tym dostępności dla osób z niepełnosprawnościami</w:t>
            </w:r>
          </w:p>
        </w:tc>
        <w:tc>
          <w:tcPr>
            <w:tcW w:w="4023" w:type="dxa"/>
          </w:tcPr>
          <w:p w14:paraId="165FCDC5" w14:textId="625CBF4D" w:rsidR="007E5FC5" w:rsidRPr="001003A9" w:rsidRDefault="007E5FC5" w:rsidP="001003A9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Wnioskodawca zapewnia, że projekt będzie realizowany zgodnie z zasadą równości </w:t>
            </w:r>
            <w:r w:rsidRPr="007E5FC5">
              <w:rPr>
                <w:rFonts w:eastAsia="Times New Roman"/>
              </w:rPr>
              <w:t xml:space="preserve">szans i niedyskryminacji, w tym dostępności dla osób z niepełnosprawnościami </w:t>
            </w:r>
            <w:r>
              <w:rPr>
                <w:rFonts w:eastAsia="Times New Roman"/>
              </w:rPr>
              <w:t>na każdym poziomie wdrażania instrumentu finansowego</w:t>
            </w:r>
            <w:r w:rsidR="00376D8B">
              <w:rPr>
                <w:rFonts w:eastAsia="Times New Roman"/>
              </w:rPr>
              <w:t>, w tym na poziomie ostatecznego odbiorcy wsparcia zwrotnego</w:t>
            </w:r>
            <w:r>
              <w:rPr>
                <w:rFonts w:eastAsia="Times New Roman"/>
              </w:rPr>
              <w:t>.</w:t>
            </w:r>
          </w:p>
          <w:p w14:paraId="3A1A0754" w14:textId="77777777" w:rsidR="00AC30B5" w:rsidRPr="00AC30B5" w:rsidRDefault="00AC30B5" w:rsidP="00AC30B5">
            <w:pPr>
              <w:rPr>
                <w:rFonts w:eastAsiaTheme="minorEastAsia"/>
              </w:rPr>
            </w:pPr>
            <w:r w:rsidRPr="00AC30B5">
              <w:rPr>
                <w:rFonts w:eastAsiaTheme="minorEastAsia"/>
              </w:rPr>
              <w:t>Przez zgodność projektu z zasadą równości szans i niedyskryminacji, w tym dostępności dla osób z niepełnosprawnościami należy rozumieć</w:t>
            </w:r>
          </w:p>
          <w:p w14:paraId="1397E687" w14:textId="77777777" w:rsidR="00AC30B5" w:rsidRPr="00AC30B5" w:rsidRDefault="00AC30B5" w:rsidP="00AC30B5">
            <w:pPr>
              <w:rPr>
                <w:rFonts w:eastAsiaTheme="minorEastAsia"/>
              </w:rPr>
            </w:pPr>
            <w:r w:rsidRPr="00AC30B5">
              <w:rPr>
                <w:rFonts w:eastAsiaTheme="minorEastAsia"/>
              </w:rPr>
              <w:lastRenderedPageBreak/>
              <w:t xml:space="preserve">pozytywny wpływ projektu na realizację tej zasady, czyli zapewnienie dostępności infrastruktury, środków transportu, towarów, usług, technologii i systemów informacyjno-komunikacyjnych oraz wszelkich produktów projektów (w tym także usług), które nie zostały uznane za neutralne, dla wszystkich ich użytkowników/użytkowniczek, bez jakiejkolwiek dyskryminacji ze względu na przesłanki określone w art. 9 Rozporządzenia 2021/1060 – zgodnie ze standardami dostępności stanowiącymi załącznik do Wytycznych dotyczących realizacji zasad równościowych w ramach funduszy unijnych na lata 2021-2027. Przy konstrukcji założeń projektu należy uwzględnić uniwersalne projektowanie (np. poprzez standardy dostępności) lub jeśli to niemożliwe – racjonalne usprawnienie (oba zdefiniowane w ww. Wytycznych). </w:t>
            </w:r>
          </w:p>
          <w:p w14:paraId="457387AF" w14:textId="77777777" w:rsidR="00AC30B5" w:rsidRPr="00AC30B5" w:rsidRDefault="00AC30B5" w:rsidP="00AC30B5">
            <w:pPr>
              <w:rPr>
                <w:rFonts w:eastAsiaTheme="minorEastAsia"/>
              </w:rPr>
            </w:pPr>
            <w:r w:rsidRPr="00AC30B5">
              <w:rPr>
                <w:rFonts w:eastAsiaTheme="minorEastAsia"/>
              </w:rPr>
              <w:t xml:space="preserve">W przypadku nowych produktów projektów (np. zasobów cyfrowych, środków transportu, infrastruktury, usług) muszą one być zgodne z zasadami uniwersalnego projektowania – co oznacza co najmniej zastosowanie </w:t>
            </w:r>
            <w:r w:rsidRPr="00AC30B5">
              <w:rPr>
                <w:rFonts w:eastAsiaTheme="minorEastAsia"/>
              </w:rPr>
              <w:lastRenderedPageBreak/>
              <w:t xml:space="preserve">standardów dostępności dla polityki spójności na lata 2021-2027. W przypadku obiektów i zasobów modernizowanych   (m.in. przebudowa  , rozbudowa  ), zastosowanie standardów dostępności jest obowiązkowe, o ile pozwalają na to warunki techniczne i zakres prowadzonej modernizacji. </w:t>
            </w:r>
          </w:p>
          <w:p w14:paraId="7C2918B7" w14:textId="77777777" w:rsidR="00AC30B5" w:rsidRPr="00AC30B5" w:rsidRDefault="00AC30B5" w:rsidP="00AC30B5">
            <w:pPr>
              <w:rPr>
                <w:rFonts w:eastAsiaTheme="minorEastAsia"/>
              </w:rPr>
            </w:pPr>
            <w:r w:rsidRPr="00AC30B5">
              <w:rPr>
                <w:rFonts w:eastAsiaTheme="minorEastAsia"/>
              </w:rPr>
              <w:t xml:space="preserve">W przypadku projektów, w których występował będzie produkt neutralny pod względem zasady równości szans i niedyskryminacji, zasada niedyskryminacji zostanie zapewniona na poziomie zarządzania projektem i dostępności cyfrowej dokumentacji projektowej publikowanej na stronach zgodnych z WCAG 2.1, nawet w przypadku braku kwalifikowalności takich wydatków w projekcie. </w:t>
            </w:r>
          </w:p>
          <w:p w14:paraId="4FA62402" w14:textId="77777777" w:rsidR="00AC30B5" w:rsidRPr="00AC30B5" w:rsidRDefault="00AC30B5" w:rsidP="00AC30B5">
            <w:pPr>
              <w:rPr>
                <w:rFonts w:eastAsiaTheme="minorEastAsia"/>
              </w:rPr>
            </w:pPr>
            <w:r w:rsidRPr="00AC30B5">
              <w:rPr>
                <w:rFonts w:eastAsiaTheme="minorEastAsia"/>
              </w:rPr>
              <w:t xml:space="preserve">W przypadku typów projektów, do których nie mają zastosowania standardy dostępności dla polityki spójności na lata 2021-2027 - weryfikacja zapewnienia dostępności produktów (usług) może odbywać się poprzez spełnienie dodatkowych wymagań w tym zakresie, </w:t>
            </w:r>
            <w:r w:rsidRPr="00AC30B5">
              <w:rPr>
                <w:rFonts w:eastAsiaTheme="minorEastAsia"/>
              </w:rPr>
              <w:lastRenderedPageBreak/>
              <w:t xml:space="preserve">które zostaną wskazane przez ION w regulaminie naboru. </w:t>
            </w:r>
          </w:p>
          <w:p w14:paraId="52719972" w14:textId="33C04090" w:rsidR="00900B63" w:rsidRPr="00D030D5" w:rsidRDefault="00AC30B5" w:rsidP="00AC30B5">
            <w:pPr>
              <w:spacing w:after="160"/>
              <w:rPr>
                <w:rFonts w:eastAsia="Times New Roman"/>
              </w:rPr>
            </w:pPr>
            <w:r w:rsidRPr="00AC30B5">
              <w:rPr>
                <w:rFonts w:eastAsiaTheme="minorEastAsia"/>
              </w:rPr>
              <w:t>W przypadku negatywnego lub neutralnego wpływu projektu na realizację zasady równości szans i niedyskryminacji, w tym dostępność dla osób z niepełnosprawnościami, kryterium zostanie uznane za niespełnione.</w:t>
            </w:r>
          </w:p>
        </w:tc>
        <w:tc>
          <w:tcPr>
            <w:tcW w:w="2265" w:type="dxa"/>
          </w:tcPr>
          <w:p w14:paraId="52076932" w14:textId="77777777" w:rsidR="00900B63" w:rsidRPr="00900B63" w:rsidRDefault="00900B63" w:rsidP="00900B63">
            <w:pPr>
              <w:rPr>
                <w:rFonts w:cstheme="minorHAnsi"/>
              </w:rPr>
            </w:pPr>
            <w:r w:rsidRPr="00900B63">
              <w:rPr>
                <w:rFonts w:cstheme="minorHAnsi"/>
              </w:rPr>
              <w:lastRenderedPageBreak/>
              <w:t>TAK</w:t>
            </w:r>
          </w:p>
          <w:p w14:paraId="015B8972" w14:textId="77777777" w:rsidR="00900B63" w:rsidRPr="00900B63" w:rsidRDefault="00900B63" w:rsidP="00900B63">
            <w:pPr>
              <w:rPr>
                <w:rFonts w:cstheme="minorHAnsi"/>
              </w:rPr>
            </w:pPr>
          </w:p>
          <w:p w14:paraId="6B189855" w14:textId="2FB48B91" w:rsidR="00900B63" w:rsidRPr="00B55F82" w:rsidRDefault="00900B63" w:rsidP="00900B63">
            <w:pPr>
              <w:rPr>
                <w:rFonts w:cstheme="minorHAnsi"/>
              </w:rPr>
            </w:pPr>
            <w:r w:rsidRPr="00900B63">
              <w:rPr>
                <w:rFonts w:cstheme="minorHAnsi"/>
              </w:rPr>
              <w:t>Podlega uzupełnieniom w zakresie koniecznym do oceny spełnienia kryterium</w:t>
            </w:r>
          </w:p>
        </w:tc>
        <w:tc>
          <w:tcPr>
            <w:tcW w:w="2202" w:type="dxa"/>
          </w:tcPr>
          <w:p w14:paraId="2998E0A1" w14:textId="4CA1E938" w:rsidR="00900B63" w:rsidRPr="00B55F82" w:rsidRDefault="00900B63" w:rsidP="00900B63">
            <w:pPr>
              <w:rPr>
                <w:rFonts w:cstheme="minorHAnsi"/>
              </w:rPr>
            </w:pPr>
            <w:r w:rsidRPr="008805A5">
              <w:t>0-1</w:t>
            </w:r>
          </w:p>
        </w:tc>
        <w:tc>
          <w:tcPr>
            <w:tcW w:w="2211" w:type="dxa"/>
          </w:tcPr>
          <w:p w14:paraId="68EE3BC1" w14:textId="7A7CF576" w:rsidR="00900B63" w:rsidRPr="00B55F82" w:rsidRDefault="00900B63" w:rsidP="00900B63">
            <w:pPr>
              <w:rPr>
                <w:rFonts w:cstheme="minorHAnsi"/>
              </w:rPr>
            </w:pPr>
            <w:r w:rsidRPr="008805A5">
              <w:t>Nie dotyczy</w:t>
            </w:r>
          </w:p>
        </w:tc>
      </w:tr>
      <w:tr w:rsidR="00900B63" w:rsidRPr="00B55F82" w14:paraId="0B696FAC" w14:textId="77777777" w:rsidTr="00F91102">
        <w:trPr>
          <w:tblHeader/>
        </w:trPr>
        <w:tc>
          <w:tcPr>
            <w:tcW w:w="605" w:type="dxa"/>
          </w:tcPr>
          <w:p w14:paraId="23DB0986" w14:textId="77777777" w:rsidR="00900B63" w:rsidRPr="00B55F82" w:rsidRDefault="00900B63" w:rsidP="00900B63">
            <w:pPr>
              <w:pStyle w:val="Akapitzlist"/>
              <w:numPr>
                <w:ilvl w:val="0"/>
                <w:numId w:val="2"/>
              </w:numPr>
              <w:spacing w:after="0"/>
              <w:ind w:left="452"/>
              <w:rPr>
                <w:rFonts w:cstheme="minorHAnsi"/>
              </w:rPr>
            </w:pPr>
          </w:p>
        </w:tc>
        <w:tc>
          <w:tcPr>
            <w:tcW w:w="3165" w:type="dxa"/>
          </w:tcPr>
          <w:p w14:paraId="25090E22" w14:textId="2C5DF0EA" w:rsidR="00900B63" w:rsidRPr="00B55F82" w:rsidRDefault="00900B63" w:rsidP="00900B63">
            <w:pPr>
              <w:rPr>
                <w:rFonts w:cstheme="minorHAnsi"/>
              </w:rPr>
            </w:pPr>
            <w:r w:rsidRPr="00900B63">
              <w:rPr>
                <w:rFonts w:cstheme="minorHAnsi"/>
              </w:rPr>
              <w:t>Zgodność projektu z Kartą Praw Podstawowych Unii Europejskiej z dnia 26 października 2012 r. (Dz. Urz. UE C 326 z 26.10.2012, str. 391), w zakresie odnoszącym się do sposobu realizacji, zakresu projektu i wnioskodawcy</w:t>
            </w:r>
          </w:p>
        </w:tc>
        <w:tc>
          <w:tcPr>
            <w:tcW w:w="4023" w:type="dxa"/>
          </w:tcPr>
          <w:p w14:paraId="6369CE4F" w14:textId="604F0661" w:rsidR="007E5FC5" w:rsidRPr="000F6BD3" w:rsidRDefault="007E5FC5" w:rsidP="007E5FC5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Wnioskodawca zapewnia, że projekt będzie realizowany zgodnie z </w:t>
            </w:r>
            <w:r w:rsidRPr="00900B63">
              <w:rPr>
                <w:rFonts w:cstheme="minorHAnsi"/>
              </w:rPr>
              <w:t xml:space="preserve">Kartą Praw Podstawowych Unii Europejskiej </w:t>
            </w:r>
            <w:r w:rsidRPr="007E5FC5">
              <w:rPr>
                <w:rFonts w:cstheme="minorHAnsi"/>
              </w:rPr>
              <w:t xml:space="preserve">w zakresie odnoszącym się do sposobu realizacji, zakresu projektu i wnioskodawcy </w:t>
            </w:r>
            <w:r>
              <w:rPr>
                <w:rFonts w:eastAsia="Times New Roman"/>
              </w:rPr>
              <w:t>na każdym poziomie wdrażania instrumentu finansowego</w:t>
            </w:r>
            <w:r w:rsidR="00376D8B">
              <w:rPr>
                <w:rFonts w:eastAsia="Times New Roman"/>
              </w:rPr>
              <w:t>, w tym na poziomie ostatecznego odbiorcy wsparcia zwrotnego</w:t>
            </w:r>
            <w:r>
              <w:rPr>
                <w:rFonts w:eastAsia="Times New Roman"/>
              </w:rPr>
              <w:t>.</w:t>
            </w:r>
          </w:p>
          <w:p w14:paraId="38CC59BB" w14:textId="77777777" w:rsidR="00AC30B5" w:rsidRPr="00AC30B5" w:rsidRDefault="00AC30B5" w:rsidP="00AC30B5">
            <w:pPr>
              <w:rPr>
                <w:rFonts w:eastAsia="Times New Roman" w:cstheme="minorHAnsi"/>
                <w:lang w:eastAsia="pl-PL"/>
              </w:rPr>
            </w:pPr>
            <w:r w:rsidRPr="00AC30B5">
              <w:rPr>
                <w:rFonts w:eastAsia="Times New Roman" w:cstheme="minorHAnsi"/>
                <w:lang w:eastAsia="pl-PL"/>
              </w:rPr>
              <w:t xml:space="preserve">Przez zgodność projektu z Kartą Praw Podstawowych Unii Europejskiej z dnia 26 października 2012 r., na etapie oceny wniosku należy rozumieć brak sprzeczności pomiędzy zapisami projektu a wymogami tego dokumentu. Kryterium zostanie zweryfikowane na podstawie zapisów we wniosku o dofinansowanie projektu, pod kątem zgodności z prawami i wolnościami określonymi w Karcie Praw </w:t>
            </w:r>
            <w:r w:rsidRPr="00AC30B5">
              <w:rPr>
                <w:rFonts w:eastAsia="Times New Roman" w:cstheme="minorHAnsi"/>
                <w:lang w:eastAsia="pl-PL"/>
              </w:rPr>
              <w:lastRenderedPageBreak/>
              <w:t>Podstawowych, zwłaszcza zapisów z części dot. realizacji zasad horyzontalnych. Żaden aspekt projektu, jego zakres oraz sposób jego realizacji nie może naruszać zapisów Karty.</w:t>
            </w:r>
          </w:p>
          <w:p w14:paraId="129B2783" w14:textId="77777777" w:rsidR="00AC30B5" w:rsidRPr="00AC30B5" w:rsidRDefault="00AC30B5" w:rsidP="00AC30B5">
            <w:pPr>
              <w:rPr>
                <w:rFonts w:eastAsia="Times New Roman" w:cstheme="minorHAnsi"/>
                <w:lang w:eastAsia="pl-PL"/>
              </w:rPr>
            </w:pPr>
            <w:r w:rsidRPr="00AC30B5">
              <w:rPr>
                <w:rFonts w:eastAsia="Times New Roman" w:cstheme="minorHAnsi"/>
                <w:lang w:eastAsia="pl-PL"/>
              </w:rPr>
              <w:t xml:space="preserve">Wsparcie polityki spójności będzie udzielane wyłącznie projektom i beneficjentom, którzy przestrzegają przepisów antydyskryminacyjnych, o których mowa w art. 9 ust. 3 Rozporządzenia PE i Rady nr 2021/1060. Wymagane będzie wskazanie przez wnioskodawcę deklaracji we wniosku o dofinansowanie (oraz przedłożenie oświadczenia na etapie podpisywania umowy o dofinansowanie), że również do tej pory nie podjął jakichkolwiek działań dyskryminujących / uchwał, sprzecznych z zasadami, o których mowa w art. 9 ust. 3 rozporządzenia nr 2021/1060, nie opublikowane zostały wyroki sądu ani wyniki kontroli świadczące o prowadzeniu takich działań, nie rozpatrzono pozytywnie skarg na wnioskodawcę w związku z prowadzeniem działań dyskryminujących oraz nie podano do publicznej wiadomości niezgodności działań wnioskodawcy z zasadami </w:t>
            </w:r>
            <w:r w:rsidRPr="00AC30B5">
              <w:rPr>
                <w:rFonts w:eastAsia="Times New Roman" w:cstheme="minorHAnsi"/>
                <w:lang w:eastAsia="pl-PL"/>
              </w:rPr>
              <w:lastRenderedPageBreak/>
              <w:t>niedyskryminacji. Dotyczy to wszystkich wnioskodawców, w szczególności JST, a w przypadku gdy wnioskodawcą jest podmiot kontrolowany przez JST lub od niej zależny, wymóg dotyczy również tej JST. W przeciwnym razie wsparcie w ramach polityki spójności nie może być udzielone</w:t>
            </w:r>
          </w:p>
          <w:p w14:paraId="676FF5E8" w14:textId="6547987E" w:rsidR="00900B63" w:rsidRPr="00900B63" w:rsidRDefault="00AC30B5" w:rsidP="00AC30B5">
            <w:pPr>
              <w:rPr>
                <w:rFonts w:eastAsiaTheme="minorEastAsia"/>
              </w:rPr>
            </w:pPr>
            <w:r w:rsidRPr="00AC30B5">
              <w:rPr>
                <w:rFonts w:eastAsia="Times New Roman" w:cstheme="minorHAnsi"/>
                <w:lang w:eastAsia="pl-PL"/>
              </w:rPr>
              <w:t>Dla wnioskodawców i ocieniających mogą być pomocne Wytyczne Komisji Europejskiej dotyczące zapewnienia poszanowania Karty praw podstawowych Unii Europejskiej przy wdrażaniu europejskich funduszy strukturalnych i inwestycyjnych, w szczególności załącznik nr III.</w:t>
            </w:r>
          </w:p>
        </w:tc>
        <w:tc>
          <w:tcPr>
            <w:tcW w:w="2265" w:type="dxa"/>
          </w:tcPr>
          <w:p w14:paraId="17088142" w14:textId="77777777" w:rsidR="00900B63" w:rsidRPr="00900B63" w:rsidRDefault="00900B63" w:rsidP="00900B63">
            <w:pPr>
              <w:rPr>
                <w:rFonts w:cstheme="minorHAnsi"/>
              </w:rPr>
            </w:pPr>
            <w:r w:rsidRPr="00900B63">
              <w:rPr>
                <w:rFonts w:cstheme="minorHAnsi"/>
              </w:rPr>
              <w:lastRenderedPageBreak/>
              <w:t>TAK</w:t>
            </w:r>
          </w:p>
          <w:p w14:paraId="3C537FEB" w14:textId="77777777" w:rsidR="00900B63" w:rsidRPr="00900B63" w:rsidRDefault="00900B63" w:rsidP="00900B63">
            <w:pPr>
              <w:rPr>
                <w:rFonts w:cstheme="minorHAnsi"/>
              </w:rPr>
            </w:pPr>
          </w:p>
          <w:p w14:paraId="4D39B107" w14:textId="6A5F2406" w:rsidR="00900B63" w:rsidRPr="00B55F82" w:rsidRDefault="00900B63" w:rsidP="00900B63">
            <w:pPr>
              <w:rPr>
                <w:rFonts w:cstheme="minorHAnsi"/>
              </w:rPr>
            </w:pPr>
            <w:r w:rsidRPr="00900B63">
              <w:rPr>
                <w:rFonts w:cstheme="minorHAnsi"/>
              </w:rPr>
              <w:t>Podlega uzupełnieniom w zakresie koniecznym do oceny spełnienia kryterium</w:t>
            </w:r>
          </w:p>
        </w:tc>
        <w:tc>
          <w:tcPr>
            <w:tcW w:w="2202" w:type="dxa"/>
          </w:tcPr>
          <w:p w14:paraId="39493B07" w14:textId="5EF5E939" w:rsidR="00900B63" w:rsidRPr="00B55F82" w:rsidRDefault="00900B63" w:rsidP="00900B63">
            <w:pPr>
              <w:rPr>
                <w:rFonts w:cstheme="minorHAnsi"/>
              </w:rPr>
            </w:pPr>
            <w:r w:rsidRPr="008805A5">
              <w:t>0-1</w:t>
            </w:r>
          </w:p>
        </w:tc>
        <w:tc>
          <w:tcPr>
            <w:tcW w:w="2211" w:type="dxa"/>
          </w:tcPr>
          <w:p w14:paraId="496A3B15" w14:textId="1B0110E4" w:rsidR="00900B63" w:rsidRPr="00B55F82" w:rsidRDefault="00900B63" w:rsidP="00900B63">
            <w:pPr>
              <w:rPr>
                <w:rFonts w:cstheme="minorHAnsi"/>
              </w:rPr>
            </w:pPr>
            <w:r w:rsidRPr="008805A5">
              <w:t>Nie dotyczy</w:t>
            </w:r>
          </w:p>
        </w:tc>
      </w:tr>
      <w:tr w:rsidR="00900B63" w:rsidRPr="00B55F82" w14:paraId="4CC1B54E" w14:textId="77777777" w:rsidTr="00F91102">
        <w:trPr>
          <w:tblHeader/>
        </w:trPr>
        <w:tc>
          <w:tcPr>
            <w:tcW w:w="605" w:type="dxa"/>
          </w:tcPr>
          <w:p w14:paraId="77A81417" w14:textId="77777777" w:rsidR="00900B63" w:rsidRPr="00B55F82" w:rsidRDefault="00900B63" w:rsidP="00900B63">
            <w:pPr>
              <w:pStyle w:val="Akapitzlist"/>
              <w:numPr>
                <w:ilvl w:val="0"/>
                <w:numId w:val="2"/>
              </w:numPr>
              <w:spacing w:after="0"/>
              <w:ind w:left="452"/>
              <w:rPr>
                <w:rFonts w:cstheme="minorHAnsi"/>
              </w:rPr>
            </w:pPr>
          </w:p>
        </w:tc>
        <w:tc>
          <w:tcPr>
            <w:tcW w:w="3165" w:type="dxa"/>
          </w:tcPr>
          <w:p w14:paraId="0617BA88" w14:textId="230E90AA" w:rsidR="00900B63" w:rsidRPr="00B55F82" w:rsidRDefault="00900B63" w:rsidP="00900B63">
            <w:pPr>
              <w:rPr>
                <w:rFonts w:cstheme="minorHAnsi"/>
              </w:rPr>
            </w:pPr>
            <w:r w:rsidRPr="00900B63">
              <w:rPr>
                <w:rFonts w:cstheme="minorHAnsi"/>
              </w:rPr>
              <w:t>Zgodność projektu z Konwencją o Prawach Osób Niepełnosprawnych, sporządzoną w Nowym Jorku dnia 13 grudnia 2006 r. (Dz. U. z 2012 r. poz. 1169, z późn. zm.), w zakresie odnoszącym się do sposobu realizacji, zakresu projektu i wnioskodawcy</w:t>
            </w:r>
          </w:p>
        </w:tc>
        <w:tc>
          <w:tcPr>
            <w:tcW w:w="4023" w:type="dxa"/>
          </w:tcPr>
          <w:p w14:paraId="759F9C5F" w14:textId="19C56151" w:rsidR="007E5FC5" w:rsidRPr="001003A9" w:rsidRDefault="007E5FC5" w:rsidP="001003A9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Wnioskodawca zapewnia, że projekt będzie realizowany zgodnie z </w:t>
            </w:r>
            <w:r w:rsidRPr="007E5FC5">
              <w:rPr>
                <w:rFonts w:cstheme="minorHAnsi"/>
              </w:rPr>
              <w:t xml:space="preserve">Konwencją o Prawach Osób Niepełnosprawnych w zakresie odnoszącym się do sposobu realizacji, zakresu projektu i wnioskodawcy </w:t>
            </w:r>
            <w:r>
              <w:rPr>
                <w:rFonts w:eastAsia="Times New Roman"/>
              </w:rPr>
              <w:t>na każdym poziomie wdrażania instrumentu finansowego</w:t>
            </w:r>
            <w:r w:rsidR="00376D8B">
              <w:rPr>
                <w:rFonts w:eastAsia="Times New Roman"/>
              </w:rPr>
              <w:t>, w tym na poziomie ostatecznego odbiorcy wsparcia zwrotnego</w:t>
            </w:r>
            <w:r>
              <w:rPr>
                <w:rFonts w:eastAsia="Times New Roman"/>
              </w:rPr>
              <w:t>.</w:t>
            </w:r>
          </w:p>
          <w:p w14:paraId="4ED1D938" w14:textId="23E2F032" w:rsidR="008B4E09" w:rsidRDefault="008B4E09" w:rsidP="008B4E09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Zgodność projektu z Konwencją o Prawach Osób Niepełnosprawnych, na etapie </w:t>
            </w:r>
            <w:r>
              <w:rPr>
                <w:lang w:eastAsia="pl-PL"/>
              </w:rPr>
              <w:lastRenderedPageBreak/>
              <w:t>oceny wniosku należy rozumieć jako brak sprzeczności pomiędzy zapisami projektu a wymogami tego dokumentu.</w:t>
            </w:r>
          </w:p>
          <w:p w14:paraId="575BB6C4" w14:textId="638710A2" w:rsidR="00900B63" w:rsidRPr="00900B63" w:rsidRDefault="008B4E09" w:rsidP="008B4E09">
            <w:pPr>
              <w:rPr>
                <w:lang w:eastAsia="pl-PL"/>
              </w:rPr>
            </w:pPr>
            <w:r>
              <w:rPr>
                <w:lang w:eastAsia="pl-PL"/>
              </w:rPr>
              <w:t>Kryterium zostanie zweryfikowane na podstawie zapisów we wniosku o dofinansowanie projektu, zwłaszcza zapisów z części dot. realizacji zasad horyzontalnych.</w:t>
            </w:r>
          </w:p>
        </w:tc>
        <w:tc>
          <w:tcPr>
            <w:tcW w:w="2265" w:type="dxa"/>
          </w:tcPr>
          <w:p w14:paraId="66D49685" w14:textId="77777777" w:rsidR="00900B63" w:rsidRPr="00900B63" w:rsidRDefault="00900B63" w:rsidP="00900B63">
            <w:pPr>
              <w:rPr>
                <w:rFonts w:cstheme="minorHAnsi"/>
              </w:rPr>
            </w:pPr>
            <w:r w:rsidRPr="00900B63">
              <w:rPr>
                <w:rFonts w:cstheme="minorHAnsi"/>
              </w:rPr>
              <w:lastRenderedPageBreak/>
              <w:t>TAK</w:t>
            </w:r>
          </w:p>
          <w:p w14:paraId="049F5273" w14:textId="77777777" w:rsidR="00900B63" w:rsidRPr="00900B63" w:rsidRDefault="00900B63" w:rsidP="00900B63">
            <w:pPr>
              <w:rPr>
                <w:rFonts w:cstheme="minorHAnsi"/>
              </w:rPr>
            </w:pPr>
          </w:p>
          <w:p w14:paraId="747F625A" w14:textId="6F2AA8FE" w:rsidR="00900B63" w:rsidRPr="00B55F82" w:rsidRDefault="00900B63" w:rsidP="00900B63">
            <w:pPr>
              <w:rPr>
                <w:rFonts w:cstheme="minorHAnsi"/>
              </w:rPr>
            </w:pPr>
            <w:r w:rsidRPr="00900B63">
              <w:rPr>
                <w:rFonts w:cstheme="minorHAnsi"/>
              </w:rPr>
              <w:t>Podlega uzupełnieniom w zakresie koniecznym do oceny spełnienia kryterium</w:t>
            </w:r>
          </w:p>
        </w:tc>
        <w:tc>
          <w:tcPr>
            <w:tcW w:w="2202" w:type="dxa"/>
          </w:tcPr>
          <w:p w14:paraId="55ED1F24" w14:textId="52A20059" w:rsidR="00900B63" w:rsidRPr="00B55F82" w:rsidRDefault="00900B63" w:rsidP="00900B63">
            <w:pPr>
              <w:rPr>
                <w:rFonts w:cstheme="minorHAnsi"/>
              </w:rPr>
            </w:pPr>
            <w:r w:rsidRPr="008805A5">
              <w:t>0-1</w:t>
            </w:r>
          </w:p>
        </w:tc>
        <w:tc>
          <w:tcPr>
            <w:tcW w:w="2211" w:type="dxa"/>
          </w:tcPr>
          <w:p w14:paraId="04D07914" w14:textId="2BF43BB6" w:rsidR="00900B63" w:rsidRPr="00B55F82" w:rsidRDefault="00900B63" w:rsidP="00900B63">
            <w:pPr>
              <w:rPr>
                <w:rFonts w:cstheme="minorHAnsi"/>
              </w:rPr>
            </w:pPr>
            <w:r w:rsidRPr="008805A5">
              <w:t>Nie dotyczy</w:t>
            </w:r>
          </w:p>
        </w:tc>
      </w:tr>
      <w:tr w:rsidR="00826D0F" w:rsidRPr="00B55F82" w14:paraId="641EDD31" w14:textId="77777777" w:rsidTr="00F91102">
        <w:trPr>
          <w:tblHeader/>
        </w:trPr>
        <w:tc>
          <w:tcPr>
            <w:tcW w:w="605" w:type="dxa"/>
          </w:tcPr>
          <w:p w14:paraId="0EDD62BE" w14:textId="77777777" w:rsidR="00826D0F" w:rsidRPr="00B55F82" w:rsidRDefault="00826D0F" w:rsidP="006D4282">
            <w:pPr>
              <w:pStyle w:val="Akapitzlist"/>
              <w:numPr>
                <w:ilvl w:val="0"/>
                <w:numId w:val="2"/>
              </w:numPr>
              <w:spacing w:after="0"/>
              <w:ind w:left="452"/>
              <w:rPr>
                <w:rFonts w:cstheme="minorHAnsi"/>
              </w:rPr>
            </w:pPr>
          </w:p>
        </w:tc>
        <w:tc>
          <w:tcPr>
            <w:tcW w:w="3165" w:type="dxa"/>
          </w:tcPr>
          <w:p w14:paraId="5E21BC9B" w14:textId="77777777" w:rsidR="00826D0F" w:rsidRPr="00B55F82" w:rsidRDefault="00826D0F" w:rsidP="00F91102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Zgodność z zasadami zrównoważonego rozwoju</w:t>
            </w:r>
          </w:p>
        </w:tc>
        <w:tc>
          <w:tcPr>
            <w:tcW w:w="4023" w:type="dxa"/>
          </w:tcPr>
          <w:p w14:paraId="4F4D7F3E" w14:textId="77777777" w:rsidR="00826D0F" w:rsidRPr="00B55F82" w:rsidRDefault="00826D0F" w:rsidP="00F91102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Projekt będzie:</w:t>
            </w:r>
          </w:p>
          <w:p w14:paraId="6B174DCE" w14:textId="77777777" w:rsidR="00826D0F" w:rsidRPr="00B55F82" w:rsidRDefault="00826D0F" w:rsidP="00F91102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- realizowany zgodnie z polityką horyzontalną Zrównoważony rozwój,</w:t>
            </w:r>
          </w:p>
          <w:p w14:paraId="7810C155" w14:textId="77777777" w:rsidR="00826D0F" w:rsidRPr="00B55F82" w:rsidRDefault="00826D0F" w:rsidP="00F91102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- realizowany zgodnie z zasadą DNSH „nie czyń poważnych szkód”(art. 17 rozporządzenia (UE) 2020/852),</w:t>
            </w:r>
          </w:p>
          <w:p w14:paraId="35D5D07E" w14:textId="77777777" w:rsidR="00826D0F" w:rsidRPr="00B55F82" w:rsidRDefault="00826D0F" w:rsidP="00F91102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- uwzględniał zielone zamówienia publiczne.</w:t>
            </w:r>
          </w:p>
        </w:tc>
        <w:tc>
          <w:tcPr>
            <w:tcW w:w="2265" w:type="dxa"/>
          </w:tcPr>
          <w:p w14:paraId="66AC39ED" w14:textId="77777777" w:rsidR="00826D0F" w:rsidRPr="00B55F82" w:rsidRDefault="00826D0F" w:rsidP="00F91102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TAK</w:t>
            </w:r>
          </w:p>
          <w:p w14:paraId="7837363A" w14:textId="77777777" w:rsidR="00826D0F" w:rsidRPr="00B55F82" w:rsidRDefault="00826D0F" w:rsidP="00F91102">
            <w:pPr>
              <w:rPr>
                <w:rFonts w:cstheme="minorHAnsi"/>
              </w:rPr>
            </w:pPr>
          </w:p>
          <w:p w14:paraId="792835F2" w14:textId="77777777" w:rsidR="00826D0F" w:rsidRPr="00B55F82" w:rsidRDefault="00826D0F" w:rsidP="00F91102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Podlega uzupełnieniom w zakresie koniecznym do oceny spełnienia kryterium</w:t>
            </w:r>
          </w:p>
        </w:tc>
        <w:tc>
          <w:tcPr>
            <w:tcW w:w="2202" w:type="dxa"/>
          </w:tcPr>
          <w:p w14:paraId="16AA6DE4" w14:textId="77777777" w:rsidR="00826D0F" w:rsidRPr="00B55F82" w:rsidRDefault="00826D0F" w:rsidP="00F91102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0-1</w:t>
            </w:r>
          </w:p>
        </w:tc>
        <w:tc>
          <w:tcPr>
            <w:tcW w:w="2211" w:type="dxa"/>
          </w:tcPr>
          <w:p w14:paraId="234689BD" w14:textId="77777777" w:rsidR="00826D0F" w:rsidRPr="00B55F82" w:rsidRDefault="00826D0F" w:rsidP="00F91102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Nie dotyczy</w:t>
            </w:r>
          </w:p>
        </w:tc>
      </w:tr>
      <w:tr w:rsidR="00826D0F" w:rsidRPr="00B55F82" w14:paraId="31359FAC" w14:textId="77777777" w:rsidTr="00F91102">
        <w:trPr>
          <w:tblHeader/>
        </w:trPr>
        <w:tc>
          <w:tcPr>
            <w:tcW w:w="605" w:type="dxa"/>
          </w:tcPr>
          <w:p w14:paraId="0F189039" w14:textId="77777777" w:rsidR="00826D0F" w:rsidRPr="00B55F82" w:rsidRDefault="00826D0F" w:rsidP="006D4282">
            <w:pPr>
              <w:pStyle w:val="Akapitzlist"/>
              <w:numPr>
                <w:ilvl w:val="0"/>
                <w:numId w:val="2"/>
              </w:numPr>
              <w:spacing w:after="0"/>
              <w:ind w:left="452"/>
              <w:rPr>
                <w:rFonts w:cstheme="minorHAnsi"/>
              </w:rPr>
            </w:pPr>
          </w:p>
        </w:tc>
        <w:tc>
          <w:tcPr>
            <w:tcW w:w="3165" w:type="dxa"/>
          </w:tcPr>
          <w:p w14:paraId="3C619201" w14:textId="77777777" w:rsidR="00826D0F" w:rsidRPr="00B55F82" w:rsidRDefault="00826D0F" w:rsidP="00F91102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Zgodność z zasadami pomocy publicznej</w:t>
            </w:r>
          </w:p>
          <w:p w14:paraId="062B0C27" w14:textId="77777777" w:rsidR="00826D0F" w:rsidRPr="00B55F82" w:rsidRDefault="00826D0F" w:rsidP="00F91102">
            <w:pPr>
              <w:rPr>
                <w:rFonts w:cstheme="minorHAnsi"/>
              </w:rPr>
            </w:pPr>
          </w:p>
        </w:tc>
        <w:tc>
          <w:tcPr>
            <w:tcW w:w="4023" w:type="dxa"/>
          </w:tcPr>
          <w:p w14:paraId="3C7DFB33" w14:textId="77777777" w:rsidR="00826D0F" w:rsidRPr="00B55F82" w:rsidRDefault="00826D0F" w:rsidP="00F91102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Projekt jest zgodny z właściwymi przepisami prawa unijnego i krajowego dotyczącymi zasad udzielania pomocy, z zastrzeżeniem, że taka pomoc nie występuje na poziomie Wnioskodawcy.</w:t>
            </w:r>
          </w:p>
        </w:tc>
        <w:tc>
          <w:tcPr>
            <w:tcW w:w="2265" w:type="dxa"/>
          </w:tcPr>
          <w:p w14:paraId="481AB4DC" w14:textId="77777777" w:rsidR="00826D0F" w:rsidRPr="00B55F82" w:rsidRDefault="00826D0F" w:rsidP="00F91102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TAK</w:t>
            </w:r>
          </w:p>
          <w:p w14:paraId="439933E3" w14:textId="77777777" w:rsidR="00826D0F" w:rsidRPr="00B55F82" w:rsidRDefault="00826D0F" w:rsidP="00F91102">
            <w:pPr>
              <w:rPr>
                <w:rFonts w:cstheme="minorHAnsi"/>
              </w:rPr>
            </w:pPr>
          </w:p>
          <w:p w14:paraId="67686EBE" w14:textId="77777777" w:rsidR="00826D0F" w:rsidRPr="00B55F82" w:rsidRDefault="00826D0F" w:rsidP="00F91102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Podlega uzupełnieniom w zakresie koniecznym do oceny spełnienia kryterium</w:t>
            </w:r>
          </w:p>
        </w:tc>
        <w:tc>
          <w:tcPr>
            <w:tcW w:w="2202" w:type="dxa"/>
          </w:tcPr>
          <w:p w14:paraId="2C6D62B7" w14:textId="77777777" w:rsidR="00826D0F" w:rsidRPr="00B55F82" w:rsidRDefault="00826D0F" w:rsidP="00F91102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0-1</w:t>
            </w:r>
          </w:p>
        </w:tc>
        <w:tc>
          <w:tcPr>
            <w:tcW w:w="2211" w:type="dxa"/>
          </w:tcPr>
          <w:p w14:paraId="7B70CB56" w14:textId="77777777" w:rsidR="00826D0F" w:rsidRPr="00B55F82" w:rsidRDefault="00826D0F" w:rsidP="00F91102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Nie dotyczy</w:t>
            </w:r>
          </w:p>
        </w:tc>
      </w:tr>
    </w:tbl>
    <w:p w14:paraId="19F0372B" w14:textId="7ECCA8D9" w:rsidR="00826D0F" w:rsidRPr="00B55F82" w:rsidRDefault="00826D0F" w:rsidP="00826D0F">
      <w:pPr>
        <w:pStyle w:val="Legenda"/>
        <w:keepNext/>
        <w:spacing w:before="240"/>
        <w:rPr>
          <w:rFonts w:cstheme="minorHAnsi"/>
          <w:b/>
          <w:color w:val="auto"/>
          <w:sz w:val="22"/>
        </w:rPr>
      </w:pPr>
      <w:r w:rsidRPr="00B55F82">
        <w:rPr>
          <w:rFonts w:cstheme="minorHAnsi"/>
          <w:b/>
          <w:color w:val="auto"/>
          <w:sz w:val="22"/>
        </w:rPr>
        <w:lastRenderedPageBreak/>
        <w:t>Tabela 2. Kryteria merytoryczne</w:t>
      </w:r>
    </w:p>
    <w:p w14:paraId="2F8120B3" w14:textId="77777777" w:rsidR="00826D0F" w:rsidRPr="00B55F82" w:rsidRDefault="00826D0F" w:rsidP="00826D0F">
      <w:pPr>
        <w:rPr>
          <w:rFonts w:asciiTheme="minorHAnsi" w:hAnsiTheme="minorHAnsi" w:cstheme="minorHAnsi"/>
          <w:u w:val="single"/>
        </w:rPr>
      </w:pPr>
      <w:r w:rsidRPr="00B55F82">
        <w:rPr>
          <w:rFonts w:asciiTheme="minorHAnsi" w:hAnsiTheme="minorHAnsi" w:cstheme="minorHAnsi"/>
          <w:u w:val="single"/>
        </w:rPr>
        <w:t>Sposób dokonywania oceny merytorycznej:</w:t>
      </w:r>
    </w:p>
    <w:p w14:paraId="58C384A0" w14:textId="32ACA40D" w:rsidR="00826D0F" w:rsidRDefault="00826D0F" w:rsidP="00826D0F">
      <w:pPr>
        <w:rPr>
          <w:rFonts w:asciiTheme="minorHAnsi" w:hAnsiTheme="minorHAnsi" w:cstheme="minorHAnsi"/>
        </w:rPr>
      </w:pPr>
      <w:r w:rsidRPr="00B55F82">
        <w:rPr>
          <w:rFonts w:asciiTheme="minorHAnsi" w:hAnsiTheme="minorHAnsi" w:cstheme="minorHAnsi"/>
        </w:rPr>
        <w:t>Projekty oceniane są w ramach kryteriów zerojedynkowo. Niespełnienie któregokolwiek z kryteriów oceny merytorycznej powoduje odrzucenie wniosku o dofinansowanie, na skutek czego projekt nie może uzyskać dofinansowania.</w:t>
      </w:r>
    </w:p>
    <w:p w14:paraId="241E674F" w14:textId="77777777" w:rsidR="001003A9" w:rsidRDefault="001003A9" w:rsidP="00826D0F">
      <w:pPr>
        <w:rPr>
          <w:rFonts w:asciiTheme="minorHAnsi" w:hAnsiTheme="minorHAnsi" w:cstheme="minorHAnsi"/>
        </w:rPr>
      </w:pPr>
    </w:p>
    <w:tbl>
      <w:tblPr>
        <w:tblStyle w:val="Tabela-Siatka"/>
        <w:tblW w:w="14646" w:type="dxa"/>
        <w:tblLook w:val="04A0" w:firstRow="1" w:lastRow="0" w:firstColumn="1" w:lastColumn="0" w:noHBand="0" w:noVBand="1"/>
      </w:tblPr>
      <w:tblGrid>
        <w:gridCol w:w="562"/>
        <w:gridCol w:w="3261"/>
        <w:gridCol w:w="3827"/>
        <w:gridCol w:w="2332"/>
        <w:gridCol w:w="2332"/>
        <w:gridCol w:w="2332"/>
      </w:tblGrid>
      <w:tr w:rsidR="005D4ECA" w:rsidRPr="005D4ECA" w14:paraId="6775D518" w14:textId="77777777" w:rsidTr="005D4ECA">
        <w:tc>
          <w:tcPr>
            <w:tcW w:w="562" w:type="dxa"/>
            <w:shd w:val="clear" w:color="auto" w:fill="BFBFBF" w:themeFill="background1" w:themeFillShade="BF"/>
          </w:tcPr>
          <w:p w14:paraId="7E73D81D" w14:textId="75F5F604" w:rsidR="005D4ECA" w:rsidRPr="005D4ECA" w:rsidRDefault="005D4ECA" w:rsidP="005D4ECA">
            <w:pPr>
              <w:rPr>
                <w:rFonts w:cstheme="minorHAnsi"/>
                <w:b/>
                <w:bCs/>
              </w:rPr>
            </w:pPr>
            <w:r w:rsidRPr="005D4ECA">
              <w:rPr>
                <w:b/>
                <w:bCs/>
              </w:rPr>
              <w:t>L.p.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3D36BA69" w14:textId="77EBF794" w:rsidR="005D4ECA" w:rsidRPr="005D4ECA" w:rsidRDefault="005D4ECA" w:rsidP="005D4ECA">
            <w:pPr>
              <w:rPr>
                <w:rFonts w:cstheme="minorHAnsi"/>
                <w:b/>
                <w:bCs/>
              </w:rPr>
            </w:pPr>
            <w:r w:rsidRPr="005D4ECA">
              <w:rPr>
                <w:b/>
                <w:bCs/>
              </w:rPr>
              <w:t>Nazwa kryterium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779A1AF1" w14:textId="3285D9FC" w:rsidR="005D4ECA" w:rsidRPr="005D4ECA" w:rsidRDefault="005D4ECA" w:rsidP="005D4ECA">
            <w:pPr>
              <w:rPr>
                <w:rFonts w:cstheme="minorHAnsi"/>
                <w:b/>
                <w:bCs/>
              </w:rPr>
            </w:pPr>
            <w:r w:rsidRPr="005D4ECA">
              <w:rPr>
                <w:b/>
                <w:bCs/>
              </w:rPr>
              <w:t>Definicja kryterium</w:t>
            </w:r>
          </w:p>
        </w:tc>
        <w:tc>
          <w:tcPr>
            <w:tcW w:w="2332" w:type="dxa"/>
            <w:shd w:val="clear" w:color="auto" w:fill="BFBFBF" w:themeFill="background1" w:themeFillShade="BF"/>
          </w:tcPr>
          <w:p w14:paraId="6E0896B8" w14:textId="3B033AA3" w:rsidR="005D4ECA" w:rsidRPr="005D4ECA" w:rsidRDefault="005D4ECA" w:rsidP="005D4ECA">
            <w:pPr>
              <w:rPr>
                <w:rFonts w:cstheme="minorHAnsi"/>
                <w:b/>
                <w:bCs/>
              </w:rPr>
            </w:pPr>
            <w:r w:rsidRPr="005D4ECA">
              <w:rPr>
                <w:b/>
                <w:bCs/>
              </w:rPr>
              <w:t>Czy spełnienie kryterium jest konieczne do przyznania dofinansowania?</w:t>
            </w:r>
          </w:p>
        </w:tc>
        <w:tc>
          <w:tcPr>
            <w:tcW w:w="2332" w:type="dxa"/>
            <w:shd w:val="clear" w:color="auto" w:fill="BFBFBF" w:themeFill="background1" w:themeFillShade="BF"/>
          </w:tcPr>
          <w:p w14:paraId="5A8B04C2" w14:textId="05ED4A86" w:rsidR="005D4ECA" w:rsidRPr="005D4ECA" w:rsidRDefault="005D4ECA" w:rsidP="005D4ECA">
            <w:pPr>
              <w:rPr>
                <w:rFonts w:cstheme="minorHAnsi"/>
                <w:b/>
                <w:bCs/>
              </w:rPr>
            </w:pPr>
            <w:r w:rsidRPr="005D4ECA">
              <w:rPr>
                <w:b/>
                <w:bCs/>
              </w:rPr>
              <w:t>Sposób oceny kryterium</w:t>
            </w:r>
          </w:p>
        </w:tc>
        <w:tc>
          <w:tcPr>
            <w:tcW w:w="2332" w:type="dxa"/>
            <w:shd w:val="clear" w:color="auto" w:fill="BFBFBF" w:themeFill="background1" w:themeFillShade="BF"/>
          </w:tcPr>
          <w:p w14:paraId="22426051" w14:textId="7B5098D8" w:rsidR="005D4ECA" w:rsidRPr="005D4ECA" w:rsidRDefault="005D4ECA" w:rsidP="005D4ECA">
            <w:pPr>
              <w:rPr>
                <w:rFonts w:cstheme="minorHAnsi"/>
                <w:b/>
                <w:bCs/>
              </w:rPr>
            </w:pPr>
            <w:r w:rsidRPr="005D4ECA">
              <w:rPr>
                <w:b/>
                <w:bCs/>
              </w:rPr>
              <w:t>Szczególne znaczenie kryterium</w:t>
            </w:r>
          </w:p>
        </w:tc>
      </w:tr>
      <w:tr w:rsidR="005D4ECA" w14:paraId="1596359B" w14:textId="77777777" w:rsidTr="005D4ECA">
        <w:tc>
          <w:tcPr>
            <w:tcW w:w="562" w:type="dxa"/>
          </w:tcPr>
          <w:p w14:paraId="27FAB92E" w14:textId="74493265" w:rsidR="005D4ECA" w:rsidRPr="008B4CB4" w:rsidRDefault="005D4ECA" w:rsidP="005D4ECA">
            <w:r>
              <w:t>1.</w:t>
            </w:r>
          </w:p>
        </w:tc>
        <w:tc>
          <w:tcPr>
            <w:tcW w:w="3261" w:type="dxa"/>
          </w:tcPr>
          <w:p w14:paraId="6CEAF385" w14:textId="77777777" w:rsidR="005D4ECA" w:rsidRPr="00B55F82" w:rsidRDefault="005D4ECA" w:rsidP="005D4ECA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Zgodność z Programem FE SL 2021-2027 oraz z ramowymi założeniami instrumentu finansowego wskazanymi w wezwaniu do złożenia wniosku</w:t>
            </w:r>
          </w:p>
          <w:p w14:paraId="589EDAAC" w14:textId="77777777" w:rsidR="005D4ECA" w:rsidRPr="008B4CB4" w:rsidRDefault="005D4ECA" w:rsidP="005D4ECA"/>
        </w:tc>
        <w:tc>
          <w:tcPr>
            <w:tcW w:w="3827" w:type="dxa"/>
          </w:tcPr>
          <w:p w14:paraId="1F41FDAF" w14:textId="77777777" w:rsidR="002D76C0" w:rsidRDefault="005D4ECA" w:rsidP="005D4ECA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Ocena kryterium polega na weryfikacji:</w:t>
            </w:r>
          </w:p>
          <w:p w14:paraId="0C8D2EEE" w14:textId="7E1C5050" w:rsidR="005D4ECA" w:rsidRPr="00B55F82" w:rsidRDefault="005D4ECA" w:rsidP="005D4ECA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 xml:space="preserve"> - czy projekt Wnioskodawcy wpisuje się m.in. w koncepcję i parametry instrumentów finansowych określone w Programie i w ramowych założeniach, jak również przewiduje osiągnięcie wskazanych rezultatów, </w:t>
            </w:r>
          </w:p>
          <w:p w14:paraId="6137E4D4" w14:textId="1F4E0C72" w:rsidR="005D4ECA" w:rsidRPr="008B4CB4" w:rsidRDefault="005D4ECA" w:rsidP="005D4ECA">
            <w:r w:rsidRPr="00B55F82">
              <w:rPr>
                <w:rFonts w:cstheme="minorHAnsi"/>
              </w:rPr>
              <w:t>– czy projekt zakłada przyjęcie określonego modelu wdrażania instrumentów finansowych, tj. czy Wnioskodawca zakłada realizację operacji jako Fundusz Powierniczy.</w:t>
            </w:r>
          </w:p>
        </w:tc>
        <w:tc>
          <w:tcPr>
            <w:tcW w:w="2332" w:type="dxa"/>
          </w:tcPr>
          <w:p w14:paraId="10403CCC" w14:textId="77777777" w:rsidR="005D4ECA" w:rsidRPr="00B55F82" w:rsidRDefault="005D4ECA" w:rsidP="005D4ECA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TAK</w:t>
            </w:r>
          </w:p>
          <w:p w14:paraId="0B690740" w14:textId="77777777" w:rsidR="005D4ECA" w:rsidRPr="00B55F82" w:rsidRDefault="005D4ECA" w:rsidP="005D4ECA">
            <w:pPr>
              <w:rPr>
                <w:rFonts w:cstheme="minorHAnsi"/>
              </w:rPr>
            </w:pPr>
          </w:p>
          <w:p w14:paraId="38528BE2" w14:textId="5747CB03" w:rsidR="005D4ECA" w:rsidRDefault="005D4ECA" w:rsidP="005D4ECA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Nie podlega uzupełnieniom</w:t>
            </w:r>
          </w:p>
        </w:tc>
        <w:tc>
          <w:tcPr>
            <w:tcW w:w="2332" w:type="dxa"/>
          </w:tcPr>
          <w:p w14:paraId="51CD2209" w14:textId="784404BC" w:rsidR="005D4ECA" w:rsidRPr="008B4CB4" w:rsidRDefault="005D4ECA" w:rsidP="005D4ECA">
            <w:r w:rsidRPr="00B55F82">
              <w:rPr>
                <w:rFonts w:cstheme="minorHAnsi"/>
              </w:rPr>
              <w:t>0-1</w:t>
            </w:r>
          </w:p>
        </w:tc>
        <w:tc>
          <w:tcPr>
            <w:tcW w:w="2332" w:type="dxa"/>
          </w:tcPr>
          <w:p w14:paraId="459F914E" w14:textId="6476878C" w:rsidR="005D4ECA" w:rsidRPr="008B4CB4" w:rsidRDefault="005D4ECA" w:rsidP="005D4ECA">
            <w:r w:rsidRPr="00B55F82">
              <w:rPr>
                <w:rFonts w:cstheme="minorHAnsi"/>
              </w:rPr>
              <w:t>Nie dotyczy</w:t>
            </w:r>
          </w:p>
        </w:tc>
      </w:tr>
      <w:tr w:rsidR="005D4ECA" w14:paraId="6A3EFCA4" w14:textId="77777777" w:rsidTr="005D4ECA">
        <w:tc>
          <w:tcPr>
            <w:tcW w:w="562" w:type="dxa"/>
          </w:tcPr>
          <w:p w14:paraId="5857224B" w14:textId="5E00AD9D" w:rsidR="005D4ECA" w:rsidRPr="008B4CB4" w:rsidRDefault="005D4ECA" w:rsidP="005D4ECA">
            <w:r>
              <w:lastRenderedPageBreak/>
              <w:t>2.</w:t>
            </w:r>
          </w:p>
        </w:tc>
        <w:tc>
          <w:tcPr>
            <w:tcW w:w="3261" w:type="dxa"/>
          </w:tcPr>
          <w:p w14:paraId="7E6FE496" w14:textId="77777777" w:rsidR="005D4ECA" w:rsidRPr="00B55F82" w:rsidRDefault="005D4ECA" w:rsidP="005D4ECA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Doświadczenie, zdolność operacyjna i potencjał organizacyjny</w:t>
            </w:r>
          </w:p>
          <w:p w14:paraId="21CB78E1" w14:textId="77777777" w:rsidR="005D4ECA" w:rsidRPr="008B4CB4" w:rsidRDefault="005D4ECA" w:rsidP="005D4ECA"/>
        </w:tc>
        <w:tc>
          <w:tcPr>
            <w:tcW w:w="3827" w:type="dxa"/>
          </w:tcPr>
          <w:p w14:paraId="25A13C90" w14:textId="77777777" w:rsidR="005D4ECA" w:rsidRPr="00B55F82" w:rsidRDefault="005D4ECA" w:rsidP="005D4ECA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Wnioskodawca wykazuje we wniosku odpowiednie doświadczenie w zakresie wdrażania instrumentów finansowych z środków dofinansowanych z budżetu UE. Wnioskodawca wykazuje, że posiada doświadczenie w realizacji podobnych projektów i pełnieniu podobnych funkcji, a także wiedzę na temat rynków finansowych i przygotowanie do oceny biznesplanów składanych przez potencjalne fundusze szczegółowe.</w:t>
            </w:r>
          </w:p>
          <w:p w14:paraId="359D33B5" w14:textId="77777777" w:rsidR="005D4ECA" w:rsidRPr="00B55F82" w:rsidRDefault="005D4ECA" w:rsidP="005D4ECA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 xml:space="preserve">Wnioskodawca wykazuje odpowiednią zdolność operacyjną do wdrażania projektu, w tym posiada: </w:t>
            </w:r>
          </w:p>
          <w:p w14:paraId="6AD586F6" w14:textId="77777777" w:rsidR="005D4ECA" w:rsidRPr="00B55F82" w:rsidRDefault="005D4ECA" w:rsidP="005D4ECA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- właściwą strukturę organizacyjną do pełnienia funkcji Funduszu Powierniczego,</w:t>
            </w:r>
          </w:p>
          <w:p w14:paraId="1CA76DE6" w14:textId="77777777" w:rsidR="005D4ECA" w:rsidRPr="00B55F82" w:rsidRDefault="005D4ECA" w:rsidP="005D4ECA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 xml:space="preserve">– adekwatne ramy zarządzania umożliwiające mu prawidłowe wypełnianie zadań i zapewniające niezbędną wiarygodność dla IZ (uwzględniające adekwatne procedury w zakresie Funduszu Powierniczego dotyczące planowania, ustanawiania, komunikacji, monitoringu, zarządzania ryzykiem i kontroli wewnętrznych, </w:t>
            </w:r>
            <w:r w:rsidRPr="00B55F82">
              <w:rPr>
                <w:rFonts w:cstheme="minorHAnsi"/>
              </w:rPr>
              <w:lastRenderedPageBreak/>
              <w:t>system wewnętrznej kontroli, który działa w sposób sprawny i skuteczny oraz umożliwia Wnioskodawcy przestrzeganie odpowiednich procedur w zakresie ryzyka, wykorzystuje system księgowy zapewniający rzetelne, kompletne i wiarygodne informacje w odpowiednim czasie),</w:t>
            </w:r>
          </w:p>
          <w:p w14:paraId="15E91D38" w14:textId="5E2FE4FF" w:rsidR="005D4ECA" w:rsidRPr="008B4CB4" w:rsidRDefault="005D4ECA" w:rsidP="005D4ECA">
            <w:r w:rsidRPr="00B55F82">
              <w:rPr>
                <w:rFonts w:cstheme="minorHAnsi"/>
              </w:rPr>
              <w:t xml:space="preserve">- kadrę zaangażowaną w realizację i obsługę Projektu - Wnioskodawca dysponuje zespołem o odpowiedniej wiedzy, doświadczeniu i kwalifikacjach do pełnienia funkcji Funduszu Powierniczego. </w:t>
            </w:r>
          </w:p>
        </w:tc>
        <w:tc>
          <w:tcPr>
            <w:tcW w:w="2332" w:type="dxa"/>
          </w:tcPr>
          <w:p w14:paraId="6E70FFAC" w14:textId="77777777" w:rsidR="005D4ECA" w:rsidRPr="00B55F82" w:rsidRDefault="005D4ECA" w:rsidP="005D4ECA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lastRenderedPageBreak/>
              <w:t>TAK</w:t>
            </w:r>
          </w:p>
          <w:p w14:paraId="000D5F0D" w14:textId="77777777" w:rsidR="005D4ECA" w:rsidRPr="00B55F82" w:rsidRDefault="005D4ECA" w:rsidP="005D4ECA">
            <w:pPr>
              <w:rPr>
                <w:rFonts w:cstheme="minorHAnsi"/>
              </w:rPr>
            </w:pPr>
          </w:p>
          <w:p w14:paraId="2B1299C7" w14:textId="1C04290D" w:rsidR="005D4ECA" w:rsidRDefault="005D4ECA" w:rsidP="005D4ECA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Nie podlega uzupełnieniom</w:t>
            </w:r>
          </w:p>
        </w:tc>
        <w:tc>
          <w:tcPr>
            <w:tcW w:w="2332" w:type="dxa"/>
          </w:tcPr>
          <w:p w14:paraId="03A2361F" w14:textId="66A79B75" w:rsidR="005D4ECA" w:rsidRPr="008B4CB4" w:rsidRDefault="005D4ECA" w:rsidP="005D4ECA">
            <w:r w:rsidRPr="00B55F82">
              <w:rPr>
                <w:rFonts w:cstheme="minorHAnsi"/>
              </w:rPr>
              <w:t>0-1</w:t>
            </w:r>
          </w:p>
        </w:tc>
        <w:tc>
          <w:tcPr>
            <w:tcW w:w="2332" w:type="dxa"/>
          </w:tcPr>
          <w:p w14:paraId="0102FA0A" w14:textId="4703C6C6" w:rsidR="005D4ECA" w:rsidRPr="008B4CB4" w:rsidRDefault="005D4ECA" w:rsidP="005D4ECA">
            <w:r w:rsidRPr="00B55F82">
              <w:rPr>
                <w:rFonts w:cstheme="minorHAnsi"/>
              </w:rPr>
              <w:t>Nie dotyczy</w:t>
            </w:r>
          </w:p>
        </w:tc>
      </w:tr>
      <w:tr w:rsidR="005D4ECA" w14:paraId="5FCA243B" w14:textId="77777777" w:rsidTr="005D4ECA">
        <w:tc>
          <w:tcPr>
            <w:tcW w:w="562" w:type="dxa"/>
          </w:tcPr>
          <w:p w14:paraId="30E1E514" w14:textId="430228B7" w:rsidR="005D4ECA" w:rsidRPr="008B4CB4" w:rsidRDefault="005D4ECA" w:rsidP="005D4ECA">
            <w:r>
              <w:t>3.</w:t>
            </w:r>
          </w:p>
        </w:tc>
        <w:tc>
          <w:tcPr>
            <w:tcW w:w="3261" w:type="dxa"/>
          </w:tcPr>
          <w:p w14:paraId="5D5DC87B" w14:textId="77777777" w:rsidR="005D4ECA" w:rsidRPr="00B55F82" w:rsidRDefault="005D4ECA" w:rsidP="005D4ECA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 xml:space="preserve">Metodyka wyboru funduszy szczegółowych </w:t>
            </w:r>
          </w:p>
          <w:p w14:paraId="651E0382" w14:textId="77777777" w:rsidR="005D4ECA" w:rsidRPr="008B4CB4" w:rsidRDefault="005D4ECA" w:rsidP="005D4ECA"/>
        </w:tc>
        <w:tc>
          <w:tcPr>
            <w:tcW w:w="3827" w:type="dxa"/>
          </w:tcPr>
          <w:p w14:paraId="71E0EDAD" w14:textId="77777777" w:rsidR="005D4ECA" w:rsidRPr="00B55F82" w:rsidRDefault="005D4ECA" w:rsidP="005D4ECA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 xml:space="preserve">Wnioskodawca dysponuje solidną i wiarygodną metodyką identyfikacji i oceny funduszy szczegółowych, zgodną z właściwymi przepisami, zakładającą wybór funduszy szczegółowych zdolnych do aktywnego działania w regionie. </w:t>
            </w:r>
          </w:p>
          <w:p w14:paraId="4B798ADC" w14:textId="5D0AE9A7" w:rsidR="005D4ECA" w:rsidRPr="008B4CB4" w:rsidRDefault="005D4ECA" w:rsidP="005D4ECA">
            <w:r w:rsidRPr="00B55F82">
              <w:rPr>
                <w:rFonts w:cstheme="minorHAnsi"/>
              </w:rPr>
              <w:t>Wnioskodawca wykazał konieczne doświadczenie w zakresie wdrażania instrumentów finansowych wymagających wyboru funduszy szczegółowych.</w:t>
            </w:r>
          </w:p>
        </w:tc>
        <w:tc>
          <w:tcPr>
            <w:tcW w:w="2332" w:type="dxa"/>
          </w:tcPr>
          <w:p w14:paraId="06B2836A" w14:textId="77777777" w:rsidR="005D4ECA" w:rsidRPr="00B55F82" w:rsidRDefault="005D4ECA" w:rsidP="005D4ECA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TAK</w:t>
            </w:r>
          </w:p>
          <w:p w14:paraId="09682186" w14:textId="77777777" w:rsidR="005D4ECA" w:rsidRPr="00B55F82" w:rsidRDefault="005D4ECA" w:rsidP="005D4ECA">
            <w:pPr>
              <w:rPr>
                <w:rFonts w:cstheme="minorHAnsi"/>
              </w:rPr>
            </w:pPr>
          </w:p>
          <w:p w14:paraId="10D104B3" w14:textId="7ADAC501" w:rsidR="005D4ECA" w:rsidRDefault="005D4ECA" w:rsidP="005D4ECA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Nie podlega uzupełnieniom</w:t>
            </w:r>
          </w:p>
        </w:tc>
        <w:tc>
          <w:tcPr>
            <w:tcW w:w="2332" w:type="dxa"/>
          </w:tcPr>
          <w:p w14:paraId="3DADF449" w14:textId="35C4A176" w:rsidR="005D4ECA" w:rsidRPr="008B4CB4" w:rsidRDefault="005D4ECA" w:rsidP="005D4ECA">
            <w:r w:rsidRPr="00B55F82">
              <w:rPr>
                <w:rFonts w:cstheme="minorHAnsi"/>
              </w:rPr>
              <w:t>0-1</w:t>
            </w:r>
          </w:p>
        </w:tc>
        <w:tc>
          <w:tcPr>
            <w:tcW w:w="2332" w:type="dxa"/>
          </w:tcPr>
          <w:p w14:paraId="55816345" w14:textId="53730D7F" w:rsidR="005D4ECA" w:rsidRPr="008B4CB4" w:rsidRDefault="005D4ECA" w:rsidP="005D4ECA">
            <w:r w:rsidRPr="00B55F82">
              <w:rPr>
                <w:rFonts w:cstheme="minorHAnsi"/>
              </w:rPr>
              <w:t>Nie dotyczy</w:t>
            </w:r>
          </w:p>
        </w:tc>
      </w:tr>
      <w:tr w:rsidR="005D4ECA" w14:paraId="362F618B" w14:textId="77777777" w:rsidTr="005D4ECA">
        <w:tc>
          <w:tcPr>
            <w:tcW w:w="562" w:type="dxa"/>
          </w:tcPr>
          <w:p w14:paraId="53B20482" w14:textId="68255919" w:rsidR="005D4ECA" w:rsidRDefault="005D4ECA" w:rsidP="005D4ECA">
            <w:r>
              <w:lastRenderedPageBreak/>
              <w:t>4.</w:t>
            </w:r>
          </w:p>
        </w:tc>
        <w:tc>
          <w:tcPr>
            <w:tcW w:w="3261" w:type="dxa"/>
          </w:tcPr>
          <w:p w14:paraId="6811E767" w14:textId="77777777" w:rsidR="005D4ECA" w:rsidRPr="00B55F82" w:rsidRDefault="005D4ECA" w:rsidP="005D4ECA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Mechanizm wynagradzania</w:t>
            </w:r>
          </w:p>
          <w:p w14:paraId="6F63C46B" w14:textId="77777777" w:rsidR="005D4ECA" w:rsidRPr="00B55F82" w:rsidRDefault="005D4ECA" w:rsidP="005D4ECA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61732ADD" w14:textId="6E4B13F5" w:rsidR="005D4ECA" w:rsidRPr="00B55F82" w:rsidRDefault="005D4ECA" w:rsidP="005D4ECA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 xml:space="preserve">Wnioskodawca zapewnia efektywną ekonomicznie realizację projektu. Proponowane wynagrodzenie jest zgodne z metodologią opartą na wynikach, uzasadnione i zaplanowane w odpowiedniej wysokości, a jego poziom nie przekroczy progów  określonych w Rozporządzeniu Parlamentu Europejskiego i Rady (UE) nr 2021/1060 z dnia 24 czerwca 2021 r.          </w:t>
            </w:r>
          </w:p>
        </w:tc>
        <w:tc>
          <w:tcPr>
            <w:tcW w:w="2332" w:type="dxa"/>
          </w:tcPr>
          <w:p w14:paraId="0C0899E4" w14:textId="77777777" w:rsidR="005D4ECA" w:rsidRPr="00B55F82" w:rsidRDefault="005D4ECA" w:rsidP="005D4ECA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TAK</w:t>
            </w:r>
          </w:p>
          <w:p w14:paraId="41046AB0" w14:textId="77777777" w:rsidR="005D4ECA" w:rsidRPr="00B55F82" w:rsidRDefault="005D4ECA" w:rsidP="005D4ECA">
            <w:pPr>
              <w:rPr>
                <w:rFonts w:cstheme="minorHAnsi"/>
              </w:rPr>
            </w:pPr>
          </w:p>
          <w:p w14:paraId="1A405301" w14:textId="617DB7E1" w:rsidR="005D4ECA" w:rsidRPr="00B55F82" w:rsidRDefault="005D4ECA" w:rsidP="005D4ECA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Nie podlega uzupełnieniom</w:t>
            </w:r>
          </w:p>
        </w:tc>
        <w:tc>
          <w:tcPr>
            <w:tcW w:w="2332" w:type="dxa"/>
          </w:tcPr>
          <w:p w14:paraId="30BD045D" w14:textId="2F0419B1" w:rsidR="005D4ECA" w:rsidRPr="00B55F82" w:rsidRDefault="005D4ECA" w:rsidP="005D4ECA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0-1</w:t>
            </w:r>
          </w:p>
        </w:tc>
        <w:tc>
          <w:tcPr>
            <w:tcW w:w="2332" w:type="dxa"/>
          </w:tcPr>
          <w:p w14:paraId="5E5D23B3" w14:textId="65DA13F1" w:rsidR="005D4ECA" w:rsidRPr="00B55F82" w:rsidRDefault="005D4ECA" w:rsidP="005D4ECA">
            <w:pPr>
              <w:rPr>
                <w:rFonts w:cstheme="minorHAnsi"/>
              </w:rPr>
            </w:pPr>
            <w:r w:rsidRPr="00B55F82">
              <w:rPr>
                <w:rFonts w:cstheme="minorHAnsi"/>
              </w:rPr>
              <w:t>Nie dotyczy</w:t>
            </w:r>
          </w:p>
        </w:tc>
      </w:tr>
    </w:tbl>
    <w:p w14:paraId="0A391493" w14:textId="77777777" w:rsidR="00826D0F" w:rsidRDefault="00826D0F" w:rsidP="005D4ECA">
      <w:pPr>
        <w:pStyle w:val="Nagwek3"/>
        <w:spacing w:before="0" w:after="0"/>
        <w:rPr>
          <w:rFonts w:ascii="Arial" w:hAnsi="Arial" w:cs="Arial"/>
          <w:sz w:val="24"/>
          <w:szCs w:val="24"/>
        </w:rPr>
      </w:pPr>
    </w:p>
    <w:sectPr w:rsidR="00826D0F" w:rsidSect="00A31E8B">
      <w:footerReference w:type="default" r:id="rId15"/>
      <w:endnotePr>
        <w:numFmt w:val="decimal"/>
      </w:endnotePr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81048" w14:textId="77777777" w:rsidR="003F3E9D" w:rsidRDefault="003F3E9D" w:rsidP="009029B5">
      <w:pPr>
        <w:spacing w:after="0" w:line="240" w:lineRule="auto"/>
      </w:pPr>
      <w:r>
        <w:separator/>
      </w:r>
    </w:p>
  </w:endnote>
  <w:endnote w:type="continuationSeparator" w:id="0">
    <w:p w14:paraId="02FC478E" w14:textId="77777777" w:rsidR="003F3E9D" w:rsidRDefault="003F3E9D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46F9" w14:textId="5A2E154B" w:rsidR="00C50DEE" w:rsidRDefault="004E78D3">
    <w:pPr>
      <w:pStyle w:val="Stopka"/>
      <w:jc w:val="right"/>
    </w:pPr>
    <w:r>
      <w:fldChar w:fldCharType="begin"/>
    </w:r>
    <w:r w:rsidR="00C50DEE">
      <w:instrText>PAGE   \* MERGEFORMAT</w:instrText>
    </w:r>
    <w:r>
      <w:fldChar w:fldCharType="separate"/>
    </w:r>
    <w:r w:rsidR="00DF35BC">
      <w:rPr>
        <w:noProof/>
      </w:rPr>
      <w:t>2</w:t>
    </w:r>
    <w:r>
      <w:fldChar w:fldCharType="end"/>
    </w:r>
  </w:p>
  <w:p w14:paraId="08CE6F91" w14:textId="77777777" w:rsidR="009E1472" w:rsidRDefault="009E14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E2FB" w14:textId="1A5DE3D4" w:rsidR="005A1ED6" w:rsidRDefault="005A1E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37D36">
      <w:rPr>
        <w:noProof/>
      </w:rPr>
      <w:t>1</w:t>
    </w:r>
    <w:r>
      <w:fldChar w:fldCharType="end"/>
    </w:r>
  </w:p>
  <w:p w14:paraId="3FE9F23F" w14:textId="6FD3FA96" w:rsidR="009E1472" w:rsidRDefault="009E1472" w:rsidP="004E551D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C9973" w14:textId="77777777" w:rsidR="00877752" w:rsidRDefault="00167F94" w:rsidP="0087775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0AACB03" wp14:editId="233B0F3A">
          <wp:extent cx="5755005" cy="420370"/>
          <wp:effectExtent l="0" t="0" r="0" b="0"/>
          <wp:docPr id="4" name="Obraz 4" descr="Na zdjęciu znajdują się cztery logotypy z opisem. Logo z opisem Fundusze Europejskie dla Śląskiego. Flaga Polski z opisem Rzeczpospolita Polska. Flaga Unii Europejskiej z opisem dofinansowane przez Unię Europejską. Logo województwa śląskiego z opisem Województwo Śląskie.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Na zdjęciu znajdują się cztery logotypy z opisem. Logo z opisem Fundusze Europejskie dla Śląskiego. Flaga Polski z opisem Rzeczpospolita Polska. Flaga Unii Europejskiej z opisem dofinansowane przez Unię Europejską. Logo województwa śląskiego z opisem Województwo Śląskie.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348DF" w14:textId="77777777" w:rsidR="003F3E9D" w:rsidRDefault="003F3E9D" w:rsidP="009029B5">
      <w:pPr>
        <w:spacing w:after="0" w:line="240" w:lineRule="auto"/>
      </w:pPr>
      <w:r>
        <w:separator/>
      </w:r>
    </w:p>
  </w:footnote>
  <w:footnote w:type="continuationSeparator" w:id="0">
    <w:p w14:paraId="07D8CA76" w14:textId="77777777" w:rsidR="003F3E9D" w:rsidRDefault="003F3E9D" w:rsidP="0090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2F646" w14:textId="77777777" w:rsidR="009E43C9" w:rsidRDefault="009E43C9" w:rsidP="00904F4D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93045"/>
    <w:multiLevelType w:val="hybridMultilevel"/>
    <w:tmpl w:val="90D0D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F4CD5"/>
    <w:multiLevelType w:val="hybridMultilevel"/>
    <w:tmpl w:val="90D0DE1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02674"/>
    <w:rsid w:val="00006BA9"/>
    <w:rsid w:val="0001536D"/>
    <w:rsid w:val="00022CF7"/>
    <w:rsid w:val="00025C6C"/>
    <w:rsid w:val="00031B9E"/>
    <w:rsid w:val="00052FEB"/>
    <w:rsid w:val="00054F52"/>
    <w:rsid w:val="000975C4"/>
    <w:rsid w:val="00097CD1"/>
    <w:rsid w:val="000A4537"/>
    <w:rsid w:val="000B3CD6"/>
    <w:rsid w:val="000B6B8A"/>
    <w:rsid w:val="000C16E8"/>
    <w:rsid w:val="000D6DA2"/>
    <w:rsid w:val="000E3104"/>
    <w:rsid w:val="000E7E32"/>
    <w:rsid w:val="001003A9"/>
    <w:rsid w:val="001051C4"/>
    <w:rsid w:val="00111591"/>
    <w:rsid w:val="001248B2"/>
    <w:rsid w:val="001636F5"/>
    <w:rsid w:val="00167F94"/>
    <w:rsid w:val="001733F6"/>
    <w:rsid w:val="00174B15"/>
    <w:rsid w:val="001866C7"/>
    <w:rsid w:val="00197F09"/>
    <w:rsid w:val="001A3C70"/>
    <w:rsid w:val="001C6097"/>
    <w:rsid w:val="001C6C71"/>
    <w:rsid w:val="001E16F4"/>
    <w:rsid w:val="001F5F7A"/>
    <w:rsid w:val="001F61FF"/>
    <w:rsid w:val="00203C43"/>
    <w:rsid w:val="00217B2A"/>
    <w:rsid w:val="0023555D"/>
    <w:rsid w:val="00237D36"/>
    <w:rsid w:val="002426B9"/>
    <w:rsid w:val="00251BCB"/>
    <w:rsid w:val="00264C43"/>
    <w:rsid w:val="0029122B"/>
    <w:rsid w:val="002943FA"/>
    <w:rsid w:val="002A3FA9"/>
    <w:rsid w:val="002A7274"/>
    <w:rsid w:val="002B0AE7"/>
    <w:rsid w:val="002B7351"/>
    <w:rsid w:val="002D76C0"/>
    <w:rsid w:val="002E540D"/>
    <w:rsid w:val="002F08C6"/>
    <w:rsid w:val="002F453A"/>
    <w:rsid w:val="002F7022"/>
    <w:rsid w:val="00304028"/>
    <w:rsid w:val="0030695E"/>
    <w:rsid w:val="00306CD4"/>
    <w:rsid w:val="00307022"/>
    <w:rsid w:val="0031245C"/>
    <w:rsid w:val="00314969"/>
    <w:rsid w:val="00314C8C"/>
    <w:rsid w:val="00323331"/>
    <w:rsid w:val="00337C98"/>
    <w:rsid w:val="00353112"/>
    <w:rsid w:val="00367A56"/>
    <w:rsid w:val="00370AD8"/>
    <w:rsid w:val="0037477A"/>
    <w:rsid w:val="00376A35"/>
    <w:rsid w:val="00376D8B"/>
    <w:rsid w:val="0038115A"/>
    <w:rsid w:val="00381A46"/>
    <w:rsid w:val="00381F76"/>
    <w:rsid w:val="00386B96"/>
    <w:rsid w:val="003902F3"/>
    <w:rsid w:val="003A484B"/>
    <w:rsid w:val="003C0F43"/>
    <w:rsid w:val="003E1637"/>
    <w:rsid w:val="003F3E9D"/>
    <w:rsid w:val="00413384"/>
    <w:rsid w:val="004201FA"/>
    <w:rsid w:val="00437684"/>
    <w:rsid w:val="004420BC"/>
    <w:rsid w:val="00445108"/>
    <w:rsid w:val="00454C80"/>
    <w:rsid w:val="00455866"/>
    <w:rsid w:val="004561D5"/>
    <w:rsid w:val="00460B24"/>
    <w:rsid w:val="00464B8E"/>
    <w:rsid w:val="00474268"/>
    <w:rsid w:val="004835C9"/>
    <w:rsid w:val="004929F9"/>
    <w:rsid w:val="00494A64"/>
    <w:rsid w:val="00497E32"/>
    <w:rsid w:val="004A7DDE"/>
    <w:rsid w:val="004B3080"/>
    <w:rsid w:val="004C3D74"/>
    <w:rsid w:val="004E551D"/>
    <w:rsid w:val="004E78D3"/>
    <w:rsid w:val="00522101"/>
    <w:rsid w:val="00530452"/>
    <w:rsid w:val="00533263"/>
    <w:rsid w:val="00541040"/>
    <w:rsid w:val="005465A2"/>
    <w:rsid w:val="00547E53"/>
    <w:rsid w:val="005570A7"/>
    <w:rsid w:val="00557EDC"/>
    <w:rsid w:val="005A1ED6"/>
    <w:rsid w:val="005B6314"/>
    <w:rsid w:val="005C0BFF"/>
    <w:rsid w:val="005C5EA9"/>
    <w:rsid w:val="005C77F0"/>
    <w:rsid w:val="005D0EE3"/>
    <w:rsid w:val="005D4ECA"/>
    <w:rsid w:val="005E49FF"/>
    <w:rsid w:val="0062463D"/>
    <w:rsid w:val="0063188E"/>
    <w:rsid w:val="00643592"/>
    <w:rsid w:val="006676D2"/>
    <w:rsid w:val="00672A2A"/>
    <w:rsid w:val="00674623"/>
    <w:rsid w:val="0069111B"/>
    <w:rsid w:val="00695047"/>
    <w:rsid w:val="00696702"/>
    <w:rsid w:val="006A0D11"/>
    <w:rsid w:val="006C2223"/>
    <w:rsid w:val="006C7224"/>
    <w:rsid w:val="006D4282"/>
    <w:rsid w:val="006D7D81"/>
    <w:rsid w:val="006E6A1B"/>
    <w:rsid w:val="006F5F71"/>
    <w:rsid w:val="00706CB6"/>
    <w:rsid w:val="0075478F"/>
    <w:rsid w:val="00755761"/>
    <w:rsid w:val="0076572D"/>
    <w:rsid w:val="007707E2"/>
    <w:rsid w:val="0077668D"/>
    <w:rsid w:val="0077767B"/>
    <w:rsid w:val="0078339D"/>
    <w:rsid w:val="00793EBA"/>
    <w:rsid w:val="007B34B0"/>
    <w:rsid w:val="007B46ED"/>
    <w:rsid w:val="007C230F"/>
    <w:rsid w:val="007E2F13"/>
    <w:rsid w:val="007E33ED"/>
    <w:rsid w:val="007E5FC5"/>
    <w:rsid w:val="007E6713"/>
    <w:rsid w:val="007F52F1"/>
    <w:rsid w:val="007F7101"/>
    <w:rsid w:val="00806BA4"/>
    <w:rsid w:val="0082088E"/>
    <w:rsid w:val="00826D0F"/>
    <w:rsid w:val="00833BCB"/>
    <w:rsid w:val="00836A19"/>
    <w:rsid w:val="0084074F"/>
    <w:rsid w:val="0084104C"/>
    <w:rsid w:val="00841334"/>
    <w:rsid w:val="00842EF1"/>
    <w:rsid w:val="00851D1D"/>
    <w:rsid w:val="00856A0B"/>
    <w:rsid w:val="00857138"/>
    <w:rsid w:val="008574D2"/>
    <w:rsid w:val="00860966"/>
    <w:rsid w:val="00861BB0"/>
    <w:rsid w:val="008667D5"/>
    <w:rsid w:val="00870F0E"/>
    <w:rsid w:val="00880842"/>
    <w:rsid w:val="0088104F"/>
    <w:rsid w:val="008838CC"/>
    <w:rsid w:val="00884232"/>
    <w:rsid w:val="008904C2"/>
    <w:rsid w:val="008A0202"/>
    <w:rsid w:val="008B4E09"/>
    <w:rsid w:val="008C3234"/>
    <w:rsid w:val="008C5123"/>
    <w:rsid w:val="008E3B92"/>
    <w:rsid w:val="008F0BA9"/>
    <w:rsid w:val="00900B63"/>
    <w:rsid w:val="00902221"/>
    <w:rsid w:val="009029B5"/>
    <w:rsid w:val="009036EE"/>
    <w:rsid w:val="00904F4D"/>
    <w:rsid w:val="00945C9E"/>
    <w:rsid w:val="00951860"/>
    <w:rsid w:val="00975B77"/>
    <w:rsid w:val="0099054F"/>
    <w:rsid w:val="009924C7"/>
    <w:rsid w:val="009A510E"/>
    <w:rsid w:val="009B3AA9"/>
    <w:rsid w:val="009B3AB9"/>
    <w:rsid w:val="009B406B"/>
    <w:rsid w:val="009E1472"/>
    <w:rsid w:val="009E43C9"/>
    <w:rsid w:val="009F1A30"/>
    <w:rsid w:val="009F60B0"/>
    <w:rsid w:val="00A106C0"/>
    <w:rsid w:val="00A22E9B"/>
    <w:rsid w:val="00A243AE"/>
    <w:rsid w:val="00A27313"/>
    <w:rsid w:val="00A54113"/>
    <w:rsid w:val="00A6025E"/>
    <w:rsid w:val="00A7368F"/>
    <w:rsid w:val="00A82C7E"/>
    <w:rsid w:val="00A84060"/>
    <w:rsid w:val="00A85155"/>
    <w:rsid w:val="00A9307C"/>
    <w:rsid w:val="00A9395D"/>
    <w:rsid w:val="00AB1014"/>
    <w:rsid w:val="00AB6C33"/>
    <w:rsid w:val="00AC30B5"/>
    <w:rsid w:val="00AD3B71"/>
    <w:rsid w:val="00B01329"/>
    <w:rsid w:val="00B028B9"/>
    <w:rsid w:val="00B12BE4"/>
    <w:rsid w:val="00B134D2"/>
    <w:rsid w:val="00B229CD"/>
    <w:rsid w:val="00B51B92"/>
    <w:rsid w:val="00B55F82"/>
    <w:rsid w:val="00B65021"/>
    <w:rsid w:val="00B72462"/>
    <w:rsid w:val="00B91CA4"/>
    <w:rsid w:val="00B92C2F"/>
    <w:rsid w:val="00B94144"/>
    <w:rsid w:val="00BA1227"/>
    <w:rsid w:val="00BA66A6"/>
    <w:rsid w:val="00BC0F23"/>
    <w:rsid w:val="00BD6A3E"/>
    <w:rsid w:val="00BE3447"/>
    <w:rsid w:val="00BF4FA1"/>
    <w:rsid w:val="00C24674"/>
    <w:rsid w:val="00C261A5"/>
    <w:rsid w:val="00C50DEE"/>
    <w:rsid w:val="00C53A71"/>
    <w:rsid w:val="00C546AF"/>
    <w:rsid w:val="00C80D0D"/>
    <w:rsid w:val="00CA3A97"/>
    <w:rsid w:val="00CB4EC3"/>
    <w:rsid w:val="00CD62A1"/>
    <w:rsid w:val="00CD6454"/>
    <w:rsid w:val="00CD7A81"/>
    <w:rsid w:val="00CE0868"/>
    <w:rsid w:val="00CE5A63"/>
    <w:rsid w:val="00CE7D61"/>
    <w:rsid w:val="00CF3396"/>
    <w:rsid w:val="00CF4003"/>
    <w:rsid w:val="00CF47E6"/>
    <w:rsid w:val="00D028E9"/>
    <w:rsid w:val="00D030D5"/>
    <w:rsid w:val="00D0340B"/>
    <w:rsid w:val="00D104F6"/>
    <w:rsid w:val="00D22D09"/>
    <w:rsid w:val="00D314B5"/>
    <w:rsid w:val="00D40D80"/>
    <w:rsid w:val="00D56AB9"/>
    <w:rsid w:val="00D65C47"/>
    <w:rsid w:val="00D776DB"/>
    <w:rsid w:val="00D81305"/>
    <w:rsid w:val="00D8305F"/>
    <w:rsid w:val="00D842D1"/>
    <w:rsid w:val="00D84F8F"/>
    <w:rsid w:val="00D9362C"/>
    <w:rsid w:val="00D9382A"/>
    <w:rsid w:val="00D9696F"/>
    <w:rsid w:val="00D96C48"/>
    <w:rsid w:val="00D9718D"/>
    <w:rsid w:val="00DC33D0"/>
    <w:rsid w:val="00DE16D3"/>
    <w:rsid w:val="00DF25A2"/>
    <w:rsid w:val="00DF35BC"/>
    <w:rsid w:val="00DF5934"/>
    <w:rsid w:val="00DF5FCE"/>
    <w:rsid w:val="00DF7C40"/>
    <w:rsid w:val="00E000FC"/>
    <w:rsid w:val="00E023C1"/>
    <w:rsid w:val="00E17A93"/>
    <w:rsid w:val="00E26DE1"/>
    <w:rsid w:val="00E316F0"/>
    <w:rsid w:val="00E33044"/>
    <w:rsid w:val="00E57EF6"/>
    <w:rsid w:val="00E61FB4"/>
    <w:rsid w:val="00E6526E"/>
    <w:rsid w:val="00E726FD"/>
    <w:rsid w:val="00E77F7C"/>
    <w:rsid w:val="00E97900"/>
    <w:rsid w:val="00EA0F60"/>
    <w:rsid w:val="00EA16C6"/>
    <w:rsid w:val="00EA1E39"/>
    <w:rsid w:val="00EA4339"/>
    <w:rsid w:val="00EA4B2A"/>
    <w:rsid w:val="00EC5F89"/>
    <w:rsid w:val="00EE2607"/>
    <w:rsid w:val="00F15B78"/>
    <w:rsid w:val="00F16CB4"/>
    <w:rsid w:val="00F22E62"/>
    <w:rsid w:val="00F27A18"/>
    <w:rsid w:val="00F454FF"/>
    <w:rsid w:val="00F5772A"/>
    <w:rsid w:val="00F64B6E"/>
    <w:rsid w:val="00F70630"/>
    <w:rsid w:val="00F74A97"/>
    <w:rsid w:val="00F7633A"/>
    <w:rsid w:val="00F768C6"/>
    <w:rsid w:val="00F77CDD"/>
    <w:rsid w:val="00F85200"/>
    <w:rsid w:val="00F9631D"/>
    <w:rsid w:val="00FA6E5E"/>
    <w:rsid w:val="00FB09AF"/>
    <w:rsid w:val="00FB54FD"/>
    <w:rsid w:val="00FF350D"/>
    <w:rsid w:val="00FF4DAC"/>
    <w:rsid w:val="02C92481"/>
    <w:rsid w:val="05986FCB"/>
    <w:rsid w:val="0EE3805B"/>
    <w:rsid w:val="144498A7"/>
    <w:rsid w:val="14651617"/>
    <w:rsid w:val="21575CEB"/>
    <w:rsid w:val="21889094"/>
    <w:rsid w:val="22CE2EA9"/>
    <w:rsid w:val="25703226"/>
    <w:rsid w:val="2605CF6B"/>
    <w:rsid w:val="2A29459A"/>
    <w:rsid w:val="2AF39E3D"/>
    <w:rsid w:val="2B3FE3DD"/>
    <w:rsid w:val="323C4505"/>
    <w:rsid w:val="3BE3274B"/>
    <w:rsid w:val="3E92091F"/>
    <w:rsid w:val="402DD980"/>
    <w:rsid w:val="409D7011"/>
    <w:rsid w:val="42394072"/>
    <w:rsid w:val="47B1E96A"/>
    <w:rsid w:val="490627EF"/>
    <w:rsid w:val="4A9B0F6B"/>
    <w:rsid w:val="4D302BFB"/>
    <w:rsid w:val="4F1FB100"/>
    <w:rsid w:val="4F2E7B7F"/>
    <w:rsid w:val="5343272F"/>
    <w:rsid w:val="5428C954"/>
    <w:rsid w:val="58C7F40C"/>
    <w:rsid w:val="5FDF69A5"/>
    <w:rsid w:val="71C2638B"/>
    <w:rsid w:val="72AE38F8"/>
    <w:rsid w:val="7695D4AE"/>
    <w:rsid w:val="785FAEA3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D209B"/>
  <w15:chartTrackingRefBased/>
  <w15:docId w15:val="{9AFFAA57-3AF2-4F10-B954-7BCDBC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link w:val="Akapitzlist"/>
    <w:uiPriority w:val="1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qFormat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uiPriority w:val="99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table" w:styleId="Tabela-Siatka">
    <w:name w:val="Table Grid"/>
    <w:basedOn w:val="Standardowy"/>
    <w:uiPriority w:val="39"/>
    <w:rsid w:val="004E55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4E551D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E551D"/>
    <w:rPr>
      <w:rFonts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51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51D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51D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826D0F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bf0a0af3a5d8a7f869609d052bbb875a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0bfab6387bcccf1504cf0c6a9138e8e0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44649-A5C5-448B-BED4-E1E9B762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</ds:schemaRefs>
</ds:datastoreItem>
</file>

<file path=customXml/itemProps4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AC7BD9-A092-4C43-A415-E6A4DA92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2381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Woźniak Anna</dc:creator>
  <cp:keywords/>
  <cp:lastModifiedBy>Brodzka Magdalena</cp:lastModifiedBy>
  <cp:revision>4</cp:revision>
  <cp:lastPrinted>2022-04-15T07:22:00Z</cp:lastPrinted>
  <dcterms:created xsi:type="dcterms:W3CDTF">2023-03-30T07:04:00Z</dcterms:created>
  <dcterms:modified xsi:type="dcterms:W3CDTF">2023-03-30T07:05:00Z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