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3B17E10C" w:rsidR="00A6025E" w:rsidRPr="00795E24" w:rsidRDefault="00F5772A" w:rsidP="47B1E96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r w:rsidRPr="00795E24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23581A">
        <w:rPr>
          <w:rFonts w:asciiTheme="minorHAnsi" w:hAnsiTheme="minorHAnsi" w:cstheme="minorHAnsi"/>
          <w:b/>
          <w:bCs/>
          <w:sz w:val="24"/>
          <w:szCs w:val="24"/>
        </w:rPr>
        <w:t>37</w:t>
      </w:r>
    </w:p>
    <w:p w14:paraId="3EB96B9F" w14:textId="77777777" w:rsidR="00F5772A" w:rsidRPr="00795E24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E24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3244CE1C" w:rsidR="00F5772A" w:rsidRPr="00795E24" w:rsidRDefault="0023581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CA3A97" w:rsidRPr="00795E24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3F583A2D" w14:textId="7ED3D0A2" w:rsidR="00A6025E" w:rsidRPr="00795E24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E24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23581A">
        <w:rPr>
          <w:rFonts w:asciiTheme="minorHAnsi" w:hAnsiTheme="minorHAnsi" w:cstheme="minorHAnsi"/>
          <w:b/>
          <w:bCs/>
          <w:sz w:val="24"/>
          <w:szCs w:val="24"/>
        </w:rPr>
        <w:t>28 marca 2023</w:t>
      </w:r>
      <w:r w:rsidR="008838CC" w:rsidRPr="00795E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0F60" w:rsidRPr="00795E24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672A6659" w14:textId="21F180E5" w:rsidR="00841334" w:rsidRPr="00795E24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E24">
        <w:rPr>
          <w:rFonts w:asciiTheme="minorHAnsi" w:hAnsiTheme="minorHAnsi" w:cstheme="minorHAnsi"/>
          <w:b/>
          <w:bCs/>
          <w:sz w:val="24"/>
          <w:szCs w:val="24"/>
        </w:rPr>
        <w:t>w sprawie</w:t>
      </w:r>
    </w:p>
    <w:p w14:paraId="274D7833" w14:textId="77777777" w:rsidR="0063188E" w:rsidRPr="00795E24" w:rsidRDefault="0037477A" w:rsidP="58C7F4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795E24">
        <w:rPr>
          <w:rFonts w:asciiTheme="minorHAnsi" w:hAnsiTheme="minorHAnsi" w:cstheme="minorHAnsi"/>
          <w:b/>
          <w:bCs/>
          <w:i/>
          <w:iCs/>
        </w:rPr>
        <w:t>zatwierdzenia</w:t>
      </w:r>
      <w:r w:rsidR="00460B24" w:rsidRPr="00795E2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536D" w:rsidRPr="00795E24">
        <w:rPr>
          <w:rFonts w:asciiTheme="minorHAnsi" w:hAnsiTheme="minorHAnsi" w:cstheme="minorHAnsi"/>
          <w:b/>
          <w:bCs/>
          <w:i/>
          <w:iCs/>
        </w:rPr>
        <w:t xml:space="preserve">kryteriów wyboru projektów dla działania </w:t>
      </w:r>
    </w:p>
    <w:p w14:paraId="5876A7B5" w14:textId="4AE95279" w:rsidR="00841334" w:rsidRPr="00795E24" w:rsidRDefault="0063188E" w:rsidP="58C7F4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795E24">
        <w:rPr>
          <w:rFonts w:asciiTheme="minorHAnsi" w:hAnsiTheme="minorHAnsi" w:cstheme="minorHAnsi"/>
          <w:b/>
          <w:bCs/>
          <w:i/>
          <w:iCs/>
        </w:rPr>
        <w:t>1.10 Promocja eksportu i internacjonalizacja MŚP</w:t>
      </w:r>
    </w:p>
    <w:p w14:paraId="0A37501D" w14:textId="77777777" w:rsidR="00F5772A" w:rsidRPr="00795E24" w:rsidRDefault="00F5772A" w:rsidP="00CB4EC3">
      <w:pPr>
        <w:spacing w:after="0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41FC1E8" w14:textId="77777777" w:rsidR="00755761" w:rsidRPr="00795E24" w:rsidRDefault="00755761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16E0D97" w14:textId="33939E2D" w:rsidR="00951860" w:rsidRPr="00795E24" w:rsidRDefault="00951860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</w:t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>40</w:t>
      </w:r>
      <w:r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A243AE" w:rsidRPr="00795E24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; art. </w:t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>19</w:t>
      </w:r>
      <w:r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 ustawy z dnia </w:t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>28 kwietnia 2022</w:t>
      </w:r>
      <w:r w:rsidRPr="00795E24">
        <w:rPr>
          <w:rFonts w:asciiTheme="minorHAnsi" w:hAnsiTheme="minorHAnsi" w:cstheme="minorHAnsi"/>
          <w:i/>
          <w:iCs/>
          <w:sz w:val="18"/>
          <w:szCs w:val="18"/>
        </w:rPr>
        <w:t xml:space="preserve"> r o zasadach realizacji </w:t>
      </w:r>
      <w:r w:rsidR="001F5F7A" w:rsidRPr="00795E24">
        <w:rPr>
          <w:rFonts w:asciiTheme="minorHAnsi" w:hAnsiTheme="minorHAnsi" w:cstheme="minorHAnsi"/>
          <w:i/>
          <w:iCs/>
          <w:sz w:val="18"/>
          <w:szCs w:val="18"/>
        </w:rPr>
        <w:t>zadań finansowanych ze środków europejskich w perspektywie finansowej 2021–2027</w:t>
      </w:r>
    </w:p>
    <w:p w14:paraId="12F76659" w14:textId="77777777" w:rsidR="00755761" w:rsidRPr="00795E24" w:rsidRDefault="00755761" w:rsidP="00CB4EC3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6C8A27" w14:textId="7FAFB673" w:rsidR="00F5772A" w:rsidRPr="00795E24" w:rsidRDefault="00F5772A" w:rsidP="00CB4EC3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795E24">
        <w:rPr>
          <w:rFonts w:asciiTheme="minorHAnsi" w:hAnsiTheme="minorHAnsi" w:cstheme="minorHAnsi"/>
          <w:b/>
          <w:bCs/>
        </w:rPr>
        <w:t>§ 1</w:t>
      </w:r>
    </w:p>
    <w:p w14:paraId="31A28840" w14:textId="1C36892C" w:rsidR="00E33044" w:rsidRPr="00795E24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795E24">
        <w:rPr>
          <w:rStyle w:val="Pogrubienie"/>
          <w:rFonts w:asciiTheme="minorHAnsi" w:hAnsiTheme="minorHAnsi" w:cstheme="minorHAnsi"/>
          <w:b w:val="0"/>
          <w:bCs w:val="0"/>
        </w:rPr>
        <w:t xml:space="preserve">Zatwierdza się </w:t>
      </w:r>
      <w:r w:rsidR="00F5772A" w:rsidRPr="00795E24">
        <w:rPr>
          <w:rStyle w:val="Pogrubienie"/>
          <w:rFonts w:asciiTheme="minorHAnsi" w:hAnsiTheme="minorHAnsi" w:cstheme="minorHAnsi"/>
          <w:b w:val="0"/>
          <w:bCs w:val="0"/>
        </w:rPr>
        <w:t>kryteria wyboru projektów</w:t>
      </w:r>
      <w:r w:rsidR="0031245C" w:rsidRPr="00795E24">
        <w:rPr>
          <w:rFonts w:asciiTheme="minorHAnsi" w:hAnsiTheme="minorHAnsi" w:cstheme="minorHAnsi"/>
        </w:rPr>
        <w:t xml:space="preserve"> </w:t>
      </w:r>
      <w:r w:rsidR="00A6025E" w:rsidRPr="00795E24">
        <w:rPr>
          <w:rFonts w:asciiTheme="minorHAnsi" w:hAnsiTheme="minorHAnsi" w:cstheme="minorHAnsi"/>
        </w:rPr>
        <w:t>dla</w:t>
      </w:r>
      <w:r w:rsidR="0001536D" w:rsidRPr="00795E24">
        <w:rPr>
          <w:rFonts w:asciiTheme="minorHAnsi" w:hAnsiTheme="minorHAnsi" w:cstheme="minorHAnsi"/>
        </w:rPr>
        <w:t xml:space="preserve"> działania </w:t>
      </w:r>
      <w:r w:rsidR="0063188E" w:rsidRPr="00795E24">
        <w:rPr>
          <w:rFonts w:asciiTheme="minorHAnsi" w:hAnsiTheme="minorHAnsi" w:cstheme="minorHAnsi"/>
        </w:rPr>
        <w:t xml:space="preserve">1.10 Promocja eksportu </w:t>
      </w:r>
      <w:r w:rsidR="00795E24" w:rsidRPr="00795E24">
        <w:rPr>
          <w:rFonts w:asciiTheme="minorHAnsi" w:hAnsiTheme="minorHAnsi" w:cstheme="minorHAnsi"/>
        </w:rPr>
        <w:br/>
      </w:r>
      <w:r w:rsidR="0063188E" w:rsidRPr="00795E24">
        <w:rPr>
          <w:rFonts w:asciiTheme="minorHAnsi" w:hAnsiTheme="minorHAnsi" w:cstheme="minorHAnsi"/>
        </w:rPr>
        <w:t>i internacjonalizacja MŚP</w:t>
      </w:r>
      <w:r w:rsidR="00B72462" w:rsidRPr="00795E24">
        <w:rPr>
          <w:rFonts w:asciiTheme="minorHAnsi" w:hAnsiTheme="minorHAnsi" w:cstheme="minorHAnsi"/>
        </w:rPr>
        <w:t>.</w:t>
      </w:r>
    </w:p>
    <w:p w14:paraId="02EB378F" w14:textId="7856AE50" w:rsidR="000B6B8A" w:rsidRPr="00795E24" w:rsidRDefault="00CA3A97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795E24">
        <w:rPr>
          <w:rFonts w:asciiTheme="minorHAnsi" w:hAnsiTheme="minorHAnsi" w:cstheme="minorHAnsi"/>
        </w:rPr>
        <w:t>Kryteria</w:t>
      </w:r>
      <w:r w:rsidR="002E540D" w:rsidRPr="00795E24">
        <w:rPr>
          <w:rFonts w:asciiTheme="minorHAnsi" w:hAnsiTheme="minorHAnsi" w:cstheme="minorHAnsi"/>
        </w:rPr>
        <w:t xml:space="preserve"> wyboru projektów </w:t>
      </w:r>
      <w:r w:rsidR="002A3FA9" w:rsidRPr="00795E24">
        <w:rPr>
          <w:rFonts w:asciiTheme="minorHAnsi" w:hAnsiTheme="minorHAnsi" w:cstheme="minorHAnsi"/>
        </w:rPr>
        <w:t xml:space="preserve">stanowią załącznik do niniejszej uchwały.   </w:t>
      </w:r>
    </w:p>
    <w:p w14:paraId="207CCF61" w14:textId="015EC6F7" w:rsidR="002A3FA9" w:rsidRPr="00795E24" w:rsidRDefault="00A6025E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  <w:r w:rsidRPr="00795E24">
        <w:rPr>
          <w:rFonts w:asciiTheme="minorHAnsi" w:hAnsiTheme="minorHAnsi" w:cstheme="minorHAnsi"/>
          <w:b/>
          <w:bCs/>
        </w:rPr>
        <w:t xml:space="preserve">    </w:t>
      </w:r>
    </w:p>
    <w:p w14:paraId="2C039194" w14:textId="77777777" w:rsidR="00755761" w:rsidRPr="00795E24" w:rsidRDefault="00755761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</w:p>
    <w:p w14:paraId="6A724822" w14:textId="72ABD0FE" w:rsidR="002F453A" w:rsidRPr="00795E24" w:rsidRDefault="00F5772A" w:rsidP="006F5392">
      <w:pPr>
        <w:pStyle w:val="Akapitzlist"/>
        <w:tabs>
          <w:tab w:val="left" w:pos="4253"/>
        </w:tabs>
        <w:ind w:left="0"/>
        <w:jc w:val="center"/>
        <w:rPr>
          <w:rFonts w:asciiTheme="minorHAnsi" w:hAnsiTheme="minorHAnsi" w:cstheme="minorHAnsi"/>
          <w:b/>
          <w:bCs/>
        </w:rPr>
      </w:pPr>
      <w:r w:rsidRPr="00795E24">
        <w:rPr>
          <w:rFonts w:asciiTheme="minorHAnsi" w:hAnsiTheme="minorHAnsi" w:cstheme="minorHAnsi"/>
          <w:b/>
          <w:bCs/>
        </w:rPr>
        <w:t>§ 2</w:t>
      </w:r>
      <w:bookmarkStart w:id="1" w:name="_GoBack"/>
      <w:bookmarkEnd w:id="1"/>
    </w:p>
    <w:p w14:paraId="3801FE28" w14:textId="77777777" w:rsidR="00CB4EC3" w:rsidRPr="00795E24" w:rsidRDefault="00F5772A" w:rsidP="0037477A">
      <w:pPr>
        <w:spacing w:before="120" w:after="120"/>
        <w:rPr>
          <w:rFonts w:asciiTheme="minorHAnsi" w:hAnsiTheme="minorHAnsi" w:cstheme="minorHAnsi"/>
        </w:rPr>
      </w:pPr>
      <w:r w:rsidRPr="00795E24">
        <w:rPr>
          <w:rFonts w:asciiTheme="minorHAnsi" w:hAnsiTheme="minorHAnsi" w:cstheme="minorHAnsi"/>
        </w:rPr>
        <w:t>Uchwała wchodzi w życie z dniem podjęcia.</w:t>
      </w:r>
    </w:p>
    <w:p w14:paraId="767B1A04" w14:textId="205DEF87" w:rsidR="00F5772A" w:rsidRPr="00795E24" w:rsidRDefault="00795E24" w:rsidP="00795E24">
      <w:pPr>
        <w:pStyle w:val="NormalnyWeb"/>
        <w:spacing w:line="276" w:lineRule="auto"/>
        <w:ind w:left="5664" w:right="1275"/>
        <w:rPr>
          <w:rFonts w:asciiTheme="minorHAnsi" w:hAnsiTheme="minorHAnsi" w:cstheme="minorHAnsi"/>
          <w:b/>
          <w:sz w:val="22"/>
          <w:szCs w:val="22"/>
        </w:rPr>
      </w:pPr>
      <w:r w:rsidRPr="00795E2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A4B2A" w:rsidRPr="00795E24">
        <w:rPr>
          <w:rFonts w:asciiTheme="minorHAnsi" w:hAnsiTheme="minorHAnsi" w:cstheme="minorHAnsi"/>
          <w:b/>
          <w:sz w:val="22"/>
          <w:szCs w:val="22"/>
        </w:rPr>
        <w:t>Przewodniczący</w:t>
      </w:r>
      <w:r w:rsidR="00F5772A" w:rsidRPr="00795E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64CAD7" w14:textId="77777777" w:rsidR="006F5392" w:rsidRDefault="00323331" w:rsidP="00795E24">
      <w:pPr>
        <w:pStyle w:val="NormalnyWeb"/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E24">
        <w:rPr>
          <w:rFonts w:asciiTheme="minorHAnsi" w:hAnsiTheme="minorHAnsi" w:cstheme="minorHAnsi"/>
          <w:b/>
          <w:sz w:val="22"/>
          <w:szCs w:val="22"/>
        </w:rPr>
        <w:t>KM</w:t>
      </w:r>
      <w:r w:rsidR="00F5772A" w:rsidRPr="00795E2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A3A97" w:rsidRPr="00795E24">
        <w:rPr>
          <w:rFonts w:asciiTheme="minorHAnsi" w:hAnsiTheme="minorHAnsi" w:cstheme="minorHAnsi"/>
          <w:b/>
          <w:sz w:val="22"/>
          <w:szCs w:val="22"/>
        </w:rPr>
        <w:t>FE SL 2021-2027</w:t>
      </w:r>
      <w:r w:rsidR="007707E2" w:rsidRPr="00795E24">
        <w:rPr>
          <w:rFonts w:asciiTheme="minorHAnsi" w:hAnsiTheme="minorHAnsi" w:cstheme="minorHAnsi"/>
          <w:b/>
          <w:sz w:val="22"/>
          <w:szCs w:val="22"/>
        </w:rPr>
        <w:tab/>
      </w:r>
    </w:p>
    <w:p w14:paraId="41C940EB" w14:textId="01C66929" w:rsidR="00C546AF" w:rsidRPr="00795E24" w:rsidRDefault="007707E2" w:rsidP="00795E24">
      <w:pPr>
        <w:pStyle w:val="NormalnyWeb"/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E24">
        <w:rPr>
          <w:rFonts w:asciiTheme="minorHAnsi" w:hAnsiTheme="minorHAnsi" w:cstheme="minorHAnsi"/>
          <w:b/>
          <w:sz w:val="22"/>
          <w:szCs w:val="22"/>
        </w:rPr>
        <w:tab/>
      </w:r>
    </w:p>
    <w:p w14:paraId="6A05A809" w14:textId="726765E5" w:rsidR="00F5772A" w:rsidRPr="00795E24" w:rsidRDefault="00795E24" w:rsidP="00795E24">
      <w:pPr>
        <w:pStyle w:val="NormalnyWeb"/>
        <w:keepNext/>
        <w:spacing w:before="240" w:after="60" w:line="276" w:lineRule="auto"/>
        <w:ind w:left="5664"/>
        <w:jc w:val="both"/>
        <w:rPr>
          <w:rFonts w:ascii="Calibri" w:hAnsi="Calibri"/>
          <w:b/>
          <w:bCs/>
          <w:sz w:val="22"/>
          <w:szCs w:val="22"/>
        </w:rPr>
        <w:sectPr w:rsidR="00F5772A" w:rsidRPr="00795E24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00795E2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A3A97" w:rsidRPr="00795E24">
        <w:rPr>
          <w:rFonts w:asciiTheme="minorHAnsi" w:hAnsiTheme="minorHAnsi" w:cstheme="minorHAnsi"/>
          <w:b/>
          <w:bCs/>
          <w:sz w:val="22"/>
          <w:szCs w:val="22"/>
        </w:rPr>
        <w:t>Jakub Chełstowsk</w:t>
      </w:r>
      <w:r w:rsidR="00A243AE" w:rsidRPr="00795E2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bookmarkEnd w:id="0"/>
    <w:p w14:paraId="3F97DA8F" w14:textId="77777777" w:rsidR="00167F94" w:rsidRPr="00795E24" w:rsidRDefault="00167F94" w:rsidP="00167F94">
      <w:pPr>
        <w:pStyle w:val="Nagwek3"/>
        <w:spacing w:before="0" w:after="0"/>
        <w:rPr>
          <w:rStyle w:val="Nagwek3Znak"/>
          <w:rFonts w:asciiTheme="minorHAnsi" w:eastAsiaTheme="minorHAnsi" w:hAnsiTheme="minorHAnsi" w:cstheme="minorHAnsi"/>
          <w:bCs/>
          <w:color w:val="FF0000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lastRenderedPageBreak/>
        <w:t>Kryteria wyboru projektów FE SL 2021-2027 Działanie 01.10 Promocja eksportu i internacjonalizacja MŚP</w:t>
      </w:r>
      <w:bookmarkStart w:id="2" w:name="_Hlk126215989"/>
    </w:p>
    <w:p w14:paraId="3FA86EA0" w14:textId="77777777" w:rsidR="00167F94" w:rsidRPr="00795E24" w:rsidRDefault="00167F94" w:rsidP="00EB4180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Klasyfikacja kryteriów wyboru projektów</w:t>
      </w:r>
      <w:r w:rsidRPr="00795E24">
        <w:rPr>
          <w:rFonts w:asciiTheme="minorHAnsi" w:hAnsiTheme="minorHAnsi" w:cstheme="minorHAnsi"/>
          <w:sz w:val="24"/>
          <w:szCs w:val="24"/>
        </w:rPr>
        <w:br/>
      </w:r>
    </w:p>
    <w:p w14:paraId="3BA8BF53" w14:textId="77777777" w:rsidR="00167F94" w:rsidRPr="00795E24" w:rsidRDefault="00167F94" w:rsidP="00EB4180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W ramach działań FE SL2021-2027wdrażanych przez Śląskie Centrum Przedsiębiorczości stosowane będą następujące podstawowe rodzaje kryteriów wyboru projektów:</w:t>
      </w:r>
    </w:p>
    <w:p w14:paraId="53C0ACC4" w14:textId="77777777" w:rsidR="00167F94" w:rsidRPr="00795E24" w:rsidRDefault="00167F94" w:rsidP="00EB4180">
      <w:pPr>
        <w:pStyle w:val="Akapitzlist"/>
        <w:widowControl w:val="0"/>
        <w:numPr>
          <w:ilvl w:val="1"/>
          <w:numId w:val="35"/>
        </w:numPr>
        <w:tabs>
          <w:tab w:val="left" w:pos="2178"/>
        </w:tabs>
        <w:autoSpaceDE w:val="0"/>
        <w:autoSpaceDN w:val="0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Formalne</w:t>
      </w:r>
      <w:r w:rsidRPr="00795E24">
        <w:rPr>
          <w:rFonts w:asciiTheme="minorHAnsi" w:hAnsiTheme="minorHAnsi" w:cstheme="minorHAnsi"/>
          <w:spacing w:val="-10"/>
          <w:sz w:val="24"/>
          <w:szCs w:val="24"/>
        </w:rPr>
        <w:t>:</w:t>
      </w:r>
    </w:p>
    <w:p w14:paraId="21B0BE56" w14:textId="77777777" w:rsidR="00167F94" w:rsidRPr="00795E24" w:rsidRDefault="00167F94" w:rsidP="00EB4180">
      <w:pPr>
        <w:pStyle w:val="Akapitzlist"/>
        <w:widowControl w:val="0"/>
        <w:numPr>
          <w:ilvl w:val="2"/>
          <w:numId w:val="35"/>
        </w:numPr>
        <w:tabs>
          <w:tab w:val="left" w:pos="2810"/>
        </w:tabs>
        <w:autoSpaceDE w:val="0"/>
        <w:autoSpaceDN w:val="0"/>
        <w:spacing w:after="0"/>
        <w:ind w:hanging="361"/>
        <w:contextualSpacing w:val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 xml:space="preserve">Zero-jedynkowe niepodlegające </w:t>
      </w:r>
      <w:r w:rsidRPr="00795E24">
        <w:rPr>
          <w:rFonts w:asciiTheme="minorHAnsi" w:hAnsiTheme="minorHAnsi" w:cstheme="minorHAnsi"/>
          <w:spacing w:val="-2"/>
          <w:sz w:val="24"/>
          <w:szCs w:val="24"/>
        </w:rPr>
        <w:t>uzupełnieniom</w:t>
      </w:r>
    </w:p>
    <w:p w14:paraId="1482A8A2" w14:textId="77777777" w:rsidR="00167F94" w:rsidRPr="00795E24" w:rsidRDefault="00167F94" w:rsidP="00EB4180">
      <w:pPr>
        <w:pStyle w:val="Akapitzlist"/>
        <w:widowControl w:val="0"/>
        <w:numPr>
          <w:ilvl w:val="2"/>
          <w:numId w:val="35"/>
        </w:numPr>
        <w:tabs>
          <w:tab w:val="left" w:pos="2810"/>
        </w:tabs>
        <w:autoSpaceDE w:val="0"/>
        <w:autoSpaceDN w:val="0"/>
        <w:spacing w:after="0"/>
        <w:ind w:hanging="361"/>
        <w:contextualSpacing w:val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 xml:space="preserve">Zero-jedynkowe podlegające </w:t>
      </w:r>
      <w:r w:rsidRPr="00795E24">
        <w:rPr>
          <w:rFonts w:asciiTheme="minorHAnsi" w:hAnsiTheme="minorHAnsi" w:cstheme="minorHAnsi"/>
          <w:spacing w:val="-2"/>
          <w:sz w:val="24"/>
          <w:szCs w:val="24"/>
        </w:rPr>
        <w:t>uzupełnieniom</w:t>
      </w:r>
    </w:p>
    <w:p w14:paraId="738C1BF3" w14:textId="77777777" w:rsidR="00167F94" w:rsidRPr="00795E24" w:rsidRDefault="00167F94" w:rsidP="00EB4180">
      <w:pPr>
        <w:pStyle w:val="Akapitzlist"/>
        <w:widowControl w:val="0"/>
        <w:numPr>
          <w:ilvl w:val="1"/>
          <w:numId w:val="35"/>
        </w:numPr>
        <w:tabs>
          <w:tab w:val="left" w:pos="2178"/>
        </w:tabs>
        <w:autoSpaceDE w:val="0"/>
        <w:autoSpaceDN w:val="0"/>
        <w:spacing w:before="1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pacing w:val="-2"/>
          <w:sz w:val="24"/>
          <w:szCs w:val="24"/>
        </w:rPr>
        <w:t>Merytoryczne</w:t>
      </w:r>
    </w:p>
    <w:p w14:paraId="611935F5" w14:textId="77777777" w:rsidR="00167F94" w:rsidRPr="00795E24" w:rsidRDefault="00167F94" w:rsidP="00EB4180">
      <w:pPr>
        <w:pStyle w:val="Akapitzlist"/>
        <w:widowControl w:val="0"/>
        <w:numPr>
          <w:ilvl w:val="2"/>
          <w:numId w:val="35"/>
        </w:numPr>
        <w:tabs>
          <w:tab w:val="left" w:pos="2810"/>
        </w:tabs>
        <w:autoSpaceDE w:val="0"/>
        <w:autoSpaceDN w:val="0"/>
        <w:spacing w:before="1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ab/>
        <w:t xml:space="preserve">kryteria zero-jedynkowe </w:t>
      </w:r>
    </w:p>
    <w:p w14:paraId="1F37DB70" w14:textId="77777777" w:rsidR="00167F94" w:rsidRPr="00795E24" w:rsidRDefault="00167F94" w:rsidP="00EB4180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CEA0C96" w14:textId="77777777" w:rsidR="00167F94" w:rsidRPr="00795E24" w:rsidRDefault="00167F94" w:rsidP="00EB4180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Kryteria</w:t>
      </w:r>
      <w:r w:rsidRPr="00795E24">
        <w:rPr>
          <w:rFonts w:asciiTheme="minorHAnsi" w:hAnsiTheme="minorHAnsi" w:cstheme="minorHAnsi"/>
          <w:spacing w:val="-2"/>
          <w:sz w:val="24"/>
          <w:szCs w:val="24"/>
        </w:rPr>
        <w:t xml:space="preserve"> formalne</w:t>
      </w:r>
    </w:p>
    <w:p w14:paraId="79F1B978" w14:textId="16128144" w:rsidR="00167F94" w:rsidRPr="00795E24" w:rsidRDefault="00167F94" w:rsidP="00EB4180">
      <w:pPr>
        <w:pStyle w:val="Tekstpodstawowy"/>
        <w:spacing w:before="1" w:after="240" w:line="276" w:lineRule="auto"/>
        <w:ind w:right="532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br/>
        <w:t>Ocena spełnienia kryteriów formalnych przeprowadzana jest w oparciu o zatwierdzone przez Komitet Monitorujący kryteria formalne, służące weryfikacji zgodności wniosku z zapisami rozporządzeń unijnych oraz krajowych, a także w odniesieniu do programu Fundusze Europejskie dla Śląsk</w:t>
      </w:r>
      <w:r w:rsidR="00DE1008" w:rsidRPr="00795E24">
        <w:rPr>
          <w:rFonts w:asciiTheme="minorHAnsi" w:hAnsiTheme="minorHAnsi" w:cstheme="minorHAnsi"/>
          <w:sz w:val="24"/>
          <w:szCs w:val="24"/>
        </w:rPr>
        <w:t>iego</w:t>
      </w:r>
      <w:r w:rsidRPr="00795E24">
        <w:rPr>
          <w:rFonts w:asciiTheme="minorHAnsi" w:hAnsiTheme="minorHAnsi" w:cstheme="minorHAnsi"/>
          <w:sz w:val="24"/>
          <w:szCs w:val="24"/>
        </w:rPr>
        <w:t xml:space="preserve"> 2021-2027, Szczegółowego Opisu Priorytetów programu Fundusze Europejskie dla Śląskiego 2021-2027 obowiązującego na moment zatwierdzenia pakietu aplikacyjnego. Oceny dokonują pracownicy Śląskiego Centrum Przedsiębiorczości – IP FE SL – ŚCP, będący członkami Komisji Oceny Projektów.</w:t>
      </w:r>
    </w:p>
    <w:p w14:paraId="49652EC6" w14:textId="77777777" w:rsidR="00167F94" w:rsidRPr="00795E24" w:rsidRDefault="00167F94" w:rsidP="00594109">
      <w:pPr>
        <w:pStyle w:val="Tekstpodstawowy"/>
        <w:spacing w:before="1" w:after="240" w:line="276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795E24">
        <w:rPr>
          <w:rFonts w:asciiTheme="minorHAnsi" w:hAnsiTheme="minorHAnsi" w:cstheme="minorHAnsi"/>
          <w:spacing w:val="-2"/>
          <w:sz w:val="24"/>
          <w:szCs w:val="24"/>
        </w:rPr>
        <w:t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spełnienia. Niespełnienie przynajmniej jednego z kryteriów formalnych skutkuje negatywną oceną formalną dla projektu i brakiem przekazania do oceny merytorycznej.</w:t>
      </w:r>
      <w:r w:rsidRPr="00795E24">
        <w:rPr>
          <w:rFonts w:asciiTheme="minorHAnsi" w:hAnsiTheme="minorHAnsi" w:cstheme="minorHAnsi"/>
          <w:sz w:val="24"/>
          <w:szCs w:val="24"/>
        </w:rPr>
        <w:t xml:space="preserve"> Wniosek spełniający wszystkie kryteria formalne jest przekazywany do oceny spełnienia kryteriów merytorycznych.</w:t>
      </w:r>
    </w:p>
    <w:p w14:paraId="49C03746" w14:textId="77777777" w:rsidR="00167F94" w:rsidRPr="00795E24" w:rsidRDefault="00167F94" w:rsidP="00EB4180">
      <w:pPr>
        <w:pStyle w:val="Tekstpodstawowy"/>
        <w:spacing w:after="240" w:line="276" w:lineRule="auto"/>
        <w:ind w:right="532"/>
        <w:rPr>
          <w:rFonts w:asciiTheme="minorHAnsi" w:hAnsiTheme="minorHAnsi" w:cstheme="minorHAnsi"/>
          <w:spacing w:val="-2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 xml:space="preserve">Wynik oceny spełnienia kryteriów formalnych zamieszczany jest na karcie oceny formalnej </w:t>
      </w:r>
      <w:r w:rsidRPr="00795E24">
        <w:rPr>
          <w:rFonts w:asciiTheme="minorHAnsi" w:hAnsiTheme="minorHAnsi" w:cstheme="minorHAnsi"/>
          <w:spacing w:val="-2"/>
          <w:sz w:val="24"/>
          <w:szCs w:val="24"/>
        </w:rPr>
        <w:t>projektu.</w:t>
      </w:r>
    </w:p>
    <w:p w14:paraId="6E154DFF" w14:textId="4810C0D0" w:rsidR="00167F94" w:rsidRPr="00795E24" w:rsidRDefault="00167F94" w:rsidP="00A76040">
      <w:pPr>
        <w:pStyle w:val="Tekstpodstawowy"/>
        <w:ind w:right="532"/>
        <w:rPr>
          <w:rFonts w:asciiTheme="minorHAnsi" w:hAnsiTheme="minorHAnsi" w:cstheme="minorHAnsi"/>
          <w:b/>
          <w:sz w:val="24"/>
          <w:szCs w:val="24"/>
        </w:rPr>
      </w:pPr>
      <w:r w:rsidRPr="00795E2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Tabela </w:t>
      </w:r>
      <w:r w:rsidRPr="00795E24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795E24">
        <w:rPr>
          <w:rFonts w:asciiTheme="minorHAnsi" w:hAnsiTheme="minorHAnsi" w:cstheme="minorHAnsi"/>
          <w:b/>
          <w:sz w:val="24"/>
          <w:szCs w:val="24"/>
        </w:rPr>
        <w:instrText xml:space="preserve"> SEQ Tabela \* ARABIC </w:instrText>
      </w:r>
      <w:r w:rsidRPr="00795E2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717CD5" w:rsidRPr="00795E24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Pr="00795E24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795E24">
        <w:rPr>
          <w:rFonts w:asciiTheme="minorHAnsi" w:hAnsiTheme="minorHAnsi" w:cstheme="minorHAnsi"/>
          <w:b/>
          <w:sz w:val="24"/>
          <w:szCs w:val="24"/>
        </w:rPr>
        <w:t>. Kryteria formalne</w:t>
      </w:r>
    </w:p>
    <w:tbl>
      <w:tblPr>
        <w:tblStyle w:val="Tabela-Siatka"/>
        <w:tblpPr w:leftFromText="141" w:rightFromText="141" w:vertAnchor="page" w:horzAnchor="margin" w:tblpY="2920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40"/>
        <w:gridCol w:w="2595"/>
        <w:gridCol w:w="4186"/>
        <w:gridCol w:w="2357"/>
        <w:gridCol w:w="2350"/>
        <w:gridCol w:w="2343"/>
      </w:tblGrid>
      <w:tr w:rsidR="00167F94" w:rsidRPr="00795E24" w14:paraId="1BD30998" w14:textId="77777777" w:rsidTr="00592664">
        <w:tc>
          <w:tcPr>
            <w:tcW w:w="640" w:type="dxa"/>
            <w:shd w:val="clear" w:color="auto" w:fill="BFBFBF" w:themeFill="background1" w:themeFillShade="BF"/>
          </w:tcPr>
          <w:bookmarkEnd w:id="2"/>
          <w:p w14:paraId="425E1A1C" w14:textId="200C138C" w:rsidR="00167F94" w:rsidRPr="00795E24" w:rsidRDefault="00167F94" w:rsidP="00A76040">
            <w:pPr>
              <w:pStyle w:val="Akapitzlist"/>
              <w:spacing w:line="240" w:lineRule="auto"/>
              <w:ind w:left="22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2F1C825C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86" w:type="dxa"/>
            <w:shd w:val="clear" w:color="auto" w:fill="BFBFBF" w:themeFill="background1" w:themeFillShade="BF"/>
          </w:tcPr>
          <w:p w14:paraId="73C1C342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95E24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6B6CB1E3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14:paraId="43F1357F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179E0F7F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25C5441E" w14:textId="77777777" w:rsidR="00167F94" w:rsidRPr="00795E24" w:rsidRDefault="00167F94" w:rsidP="00A760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3" w:name="_Hlk125464591"/>
            <w:r w:rsidRPr="00795E24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3"/>
          </w:p>
        </w:tc>
      </w:tr>
      <w:tr w:rsidR="00167F94" w:rsidRPr="00795E24" w14:paraId="72827280" w14:textId="77777777" w:rsidTr="00592664">
        <w:tc>
          <w:tcPr>
            <w:tcW w:w="640" w:type="dxa"/>
          </w:tcPr>
          <w:p w14:paraId="0A23C5C4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  <w:bookmarkStart w:id="4" w:name="_Hlk126216262"/>
          </w:p>
        </w:tc>
        <w:tc>
          <w:tcPr>
            <w:tcW w:w="2595" w:type="dxa"/>
          </w:tcPr>
          <w:p w14:paraId="1966B6D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color w:val="000000"/>
                <w:sz w:val="24"/>
                <w:szCs w:val="24"/>
              </w:rPr>
              <w:t>Kwalifikowalność podmiotowa wnioskodawcy</w:t>
            </w:r>
          </w:p>
        </w:tc>
        <w:tc>
          <w:tcPr>
            <w:tcW w:w="4186" w:type="dxa"/>
          </w:tcPr>
          <w:p w14:paraId="1481FAC7" w14:textId="77777777" w:rsidR="00167F94" w:rsidRPr="00795E24" w:rsidRDefault="00167F94" w:rsidP="00592664">
            <w:pPr>
              <w:keepNext/>
              <w:keepLines/>
              <w:outlineLvl w:val="1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597E6A80" w14:textId="77777777" w:rsidR="00167F94" w:rsidRPr="00795E24" w:rsidRDefault="00167F94" w:rsidP="00592664">
            <w:pPr>
              <w:keepNext/>
              <w:keepLines/>
              <w:numPr>
                <w:ilvl w:val="0"/>
                <w:numId w:val="36"/>
              </w:numPr>
              <w:spacing w:after="0"/>
              <w:outlineLvl w:val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 xml:space="preserve">Czy Wnioskodawca oraz partnerzy (jeśli dotyczy) są podmiotami kwalifikującymi się do wsparcia zgodnie z katalogiem podmiotów uprawnionych do uzyskania wsparcia w ramach naboru i tym samym czy wpisują się  w katalog beneficjentów przewidzianych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 xml:space="preserve">dla działania Promocja eksportu i internacjonalizacja MŚP w FE SL 2021-2027 oraz SZOP </w:t>
            </w:r>
            <w:r w:rsidRPr="00795E24">
              <w:rPr>
                <w:rFonts w:cstheme="minorHAnsi"/>
                <w:sz w:val="24"/>
                <w:szCs w:val="24"/>
              </w:rPr>
              <w:t>FE SL 2021-2027</w:t>
            </w: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 xml:space="preserve"> obowiązującym na moment przyjęcia kryteriów wyboru projektów.</w:t>
            </w:r>
          </w:p>
          <w:p w14:paraId="61C891E8" w14:textId="77777777" w:rsidR="00167F94" w:rsidRPr="00795E24" w:rsidRDefault="00167F94" w:rsidP="00592664">
            <w:pPr>
              <w:keepNext/>
              <w:keepLines/>
              <w:numPr>
                <w:ilvl w:val="0"/>
                <w:numId w:val="36"/>
              </w:numPr>
              <w:spacing w:after="0"/>
              <w:outlineLvl w:val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Czy Wnioskodawca utworzył partnerstwo zgodnie z art. 39 ustawy wdrożeniowej i potwierdził to właściwym dokumentem? (jeśli dotyczy)”. Czy utworzone partnerstwo spełnia warunki, o których mowa w art. 39 ustawy z dnia 28 kwietnia 2022 r. r. o zasadach realizacji programów w zakresie polityki spójności finansowanych w perspektywie finansowej 2021-2027 z późn. zm. </w:t>
            </w:r>
          </w:p>
          <w:p w14:paraId="66925037" w14:textId="77777777" w:rsidR="00167F94" w:rsidRPr="00795E24" w:rsidRDefault="00167F94" w:rsidP="00592664">
            <w:pPr>
              <w:numPr>
                <w:ilvl w:val="0"/>
                <w:numId w:val="36"/>
              </w:num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 xml:space="preserve">Czy Wnioskodawca oraz partnerzy (jeśli dotyczy) nie podlegają wykluczeniu z ubiegania się o dofinansowanie na podstawie: </w:t>
            </w:r>
          </w:p>
          <w:p w14:paraId="161C2D24" w14:textId="77777777" w:rsidR="00167F94" w:rsidRPr="00795E24" w:rsidRDefault="00167F94" w:rsidP="00592664">
            <w:pPr>
              <w:numPr>
                <w:ilvl w:val="0"/>
                <w:numId w:val="37"/>
              </w:num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(Dz. U. z 2021 r. poz. 1745);</w:t>
            </w:r>
          </w:p>
          <w:p w14:paraId="51FC8BC7" w14:textId="77777777" w:rsidR="00167F94" w:rsidRPr="00795E24" w:rsidRDefault="00167F94" w:rsidP="00592664">
            <w:pPr>
              <w:numPr>
                <w:ilvl w:val="0"/>
                <w:numId w:val="37"/>
              </w:num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art. 9 ust. 1 pkt 2a ustawy z dnia 28 października 2002 r. o odpowiedzialności podmiotów zbiorowych za czyny zabronione pod groźbą kary (tj. Dz. U. 2020 r. poz.  358 z późn. zm.).</w:t>
            </w:r>
          </w:p>
          <w:p w14:paraId="608B38FE" w14:textId="77777777" w:rsidR="00167F94" w:rsidRPr="00795E24" w:rsidRDefault="00167F94" w:rsidP="00592664">
            <w:pPr>
              <w:ind w:left="745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Weryfikacja w tym zakresie nastąpi w oparciu o złożone oświadczenia Wnioskodawcy i partnerów (jeśli dotyczy).</w:t>
            </w:r>
          </w:p>
          <w:p w14:paraId="58165119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6B320A5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9C398C6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FC8D6C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36E5151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6804E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  <w:p w14:paraId="6A90E60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3D6CCF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76606073" w14:textId="77777777" w:rsidTr="00592664">
        <w:tc>
          <w:tcPr>
            <w:tcW w:w="640" w:type="dxa"/>
          </w:tcPr>
          <w:p w14:paraId="116F96FB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0FFE60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86" w:type="dxa"/>
          </w:tcPr>
          <w:p w14:paraId="7428D2B7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color w:val="000000"/>
                <w:sz w:val="24"/>
                <w:szCs w:val="24"/>
              </w:rPr>
              <w:t>Weryfikacji podlega:</w:t>
            </w:r>
          </w:p>
          <w:p w14:paraId="5D28A274" w14:textId="77777777" w:rsidR="00167F94" w:rsidRPr="00795E24" w:rsidRDefault="00167F94" w:rsidP="005926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bookmarkStart w:id="5" w:name="_Hlk126234748"/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>czy projekt, w szczególności zakres oraz jego cele, jest zgodny z możliwym przedmiotem wsparcia  oraz celami działania określonymi w aktualnym na moment przyjęcia kryteriów wyboru projektów SZOP FE SL 2021-2027</w:t>
            </w:r>
            <w:bookmarkEnd w:id="5"/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>;</w:t>
            </w:r>
          </w:p>
          <w:p w14:paraId="7AED17C6" w14:textId="77777777" w:rsidR="00167F94" w:rsidRPr="00795E24" w:rsidRDefault="00167F94" w:rsidP="005926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t xml:space="preserve">czy zakres rzeczowy projektu będzie wykorzystywany przez </w:t>
            </w:r>
            <w:r w:rsidRPr="00795E2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przedsiębiorstwa z województwa śląskiego;</w:t>
            </w:r>
          </w:p>
          <w:p w14:paraId="74B60CC0" w14:textId="212FCBF1" w:rsidR="00167F94" w:rsidRPr="00795E24" w:rsidRDefault="00167F94" w:rsidP="0059266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eastAsia="Calibri" w:cstheme="minorHAnsi"/>
                <w:color w:val="000000" w:themeColor="text1"/>
                <w:sz w:val="24"/>
                <w:szCs w:val="24"/>
              </w:rPr>
              <w:t>czy projekt nie został zakończony przed złożeniem wniosku</w:t>
            </w:r>
            <w:r w:rsidR="003668F0" w:rsidRPr="00795E24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zgodnie z art. 63 Rozporządzenia Parlamentu Europejskiego i Rady (UE) 2021/1060 z dnia 24 czerwca 2021 r. 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</w:t>
            </w:r>
            <w:r w:rsidR="003668F0" w:rsidRPr="00795E24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 xml:space="preserve">Zarządzania Granicami i Polityki Wizowej </w:t>
            </w:r>
            <w:r w:rsidRPr="00795E24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  <w:p w14:paraId="07140B7A" w14:textId="77777777" w:rsidR="00167F94" w:rsidRPr="00795E24" w:rsidRDefault="00167F94" w:rsidP="00592664">
            <w:pPr>
              <w:autoSpaceDE w:val="0"/>
              <w:autoSpaceDN w:val="0"/>
              <w:adjustRightInd w:val="0"/>
              <w:spacing w:before="24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2709063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03F2220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310CF26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również do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uzupełnienia lub poprawy projektu.</w:t>
            </w:r>
          </w:p>
          <w:p w14:paraId="58BD206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A91035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5839ADA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7C75DA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518524FA" w14:textId="77777777" w:rsidTr="00592664">
        <w:tc>
          <w:tcPr>
            <w:tcW w:w="640" w:type="dxa"/>
          </w:tcPr>
          <w:p w14:paraId="6A610FFD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901854F" w14:textId="79998849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Wnioskodawca NIE jest jednostką samorządu terytorialnego (lub podmiotem przez nią</w:t>
            </w:r>
            <w:r w:rsidR="00F248D9" w:rsidRPr="00795E2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>kontrolowanym lub od niej zależnym), która podjęła jakiekolwiek działania dyskryminujące, sprzeczne z zasadami, o których mowa w art. 9 ust. 3 rozporządzenia nr 2021/1060</w:t>
            </w:r>
          </w:p>
        </w:tc>
        <w:tc>
          <w:tcPr>
            <w:tcW w:w="4186" w:type="dxa"/>
            <w:vAlign w:val="center"/>
          </w:tcPr>
          <w:p w14:paraId="302036B7" w14:textId="58F696B6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Wsparcie polityki spójności będzie udzielane wyłącznie projektom i podmiotom, które przestrzegają przepisów antydyskryminacyjnych, o których mowa w art. 9 ust. 3 Rozporządzenia PE i Rady nr 2021/1060. W przypadku, gdy Wnioskodawcą jest jednostka samorządu terytorialnego (lub podmiot przez nią</w:t>
            </w:r>
            <w:r w:rsidR="00F248D9"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sz w:val="24"/>
                <w:szCs w:val="24"/>
              </w:rPr>
              <w:t>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5EDFDE06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7" w:type="dxa"/>
          </w:tcPr>
          <w:p w14:paraId="4D557A53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Tak</w:t>
            </w:r>
          </w:p>
          <w:p w14:paraId="63429C70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D78702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607408A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E7C98C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  <w:p w14:paraId="6CFDE747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39E789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39488074" w14:textId="77777777" w:rsidTr="00592664">
        <w:tc>
          <w:tcPr>
            <w:tcW w:w="640" w:type="dxa"/>
          </w:tcPr>
          <w:p w14:paraId="7BE868C7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E0891F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Wnioskowana kwota oraz procent wsparcia nie przekraczają obowiązujących limitów</w:t>
            </w:r>
          </w:p>
        </w:tc>
        <w:tc>
          <w:tcPr>
            <w:tcW w:w="4186" w:type="dxa"/>
          </w:tcPr>
          <w:p w14:paraId="49D41AA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690E55EC" w14:textId="77777777" w:rsidR="00167F94" w:rsidRPr="00795E24" w:rsidRDefault="00167F94" w:rsidP="00592664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czy Wnioskodawca właściwie wyliczył procent oraz kwotę wsparcia zgodnie z zapisami SZOP FE SL 2021-2027;  </w:t>
            </w:r>
          </w:p>
          <w:p w14:paraId="66032ADB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wnioskowane dofinansowanie nie przekracza alokacji wskazanej w naborze.</w:t>
            </w:r>
          </w:p>
          <w:p w14:paraId="228FF185" w14:textId="77777777" w:rsidR="00167F94" w:rsidRPr="00795E24" w:rsidRDefault="00167F94" w:rsidP="00592664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07314C9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Tak</w:t>
            </w:r>
          </w:p>
          <w:p w14:paraId="0954FFF3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1CA76E45" w14:textId="7D083109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5E3E044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  <w:p w14:paraId="0C375FB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35F478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2312CE7A" w14:textId="77777777" w:rsidTr="00592664">
        <w:tc>
          <w:tcPr>
            <w:tcW w:w="640" w:type="dxa"/>
          </w:tcPr>
          <w:p w14:paraId="2D74BDA1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29B9B0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Poprawność wypełnienia wniosku</w:t>
            </w:r>
          </w:p>
          <w:p w14:paraId="56968D8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oraz spójność zapisów</w:t>
            </w:r>
          </w:p>
        </w:tc>
        <w:tc>
          <w:tcPr>
            <w:tcW w:w="4186" w:type="dxa"/>
          </w:tcPr>
          <w:p w14:paraId="68C0E40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4AF9259B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czy wniosek został napisany w języku polskim; </w:t>
            </w:r>
          </w:p>
          <w:p w14:paraId="53247A35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wszystkie pola we wniosku zostały wypełnione zgodnie z Instrukcją wypełniania i składania wniosku o dofinansowanie;</w:t>
            </w:r>
          </w:p>
          <w:p w14:paraId="3971275C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czy wniosek został napisany w sposób czytelny i zrozumiały a także czy informacje ujęte we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 xml:space="preserve">wniosku są adekwatne do poszczególnych pól i punktów; w szczególności czy nie zastosowano nieprzyjętych powszechnie skrótów, wykropkowanych miejsc, informacji niezwiązanych z tematem projektu/danego pola lub punktu. Pola i punkty powinny być wypełnione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 </w:t>
            </w:r>
          </w:p>
          <w:p w14:paraId="44FFC1AC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22B5C7BE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czy wskaźniki produktu i rezultatu zostały dobrane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odpowiednio do zakresu rzeczowego projektu, czy wybrano wszystkie wskaźniki wymagane Regulaminem wyboru projektów, czy wskazano uzasadnienie wartości, częstotliwość pomiaru wskaźników oraz czy wybrano prawidłowe narzędzia pomiarów wskaźników;</w:t>
            </w:r>
          </w:p>
          <w:p w14:paraId="32BC78D9" w14:textId="77777777" w:rsidR="00167F94" w:rsidRPr="00795E24" w:rsidRDefault="00167F94" w:rsidP="0059266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zapisy wniosku są spójne.</w:t>
            </w:r>
          </w:p>
          <w:p w14:paraId="0374F8D9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397B526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B1534C0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79582D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również do uzupełnienia lub poprawy projektu.</w:t>
            </w:r>
          </w:p>
          <w:p w14:paraId="0DC94AD3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E483686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3360A386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D6E147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7B552421" w14:textId="77777777" w:rsidTr="00592664">
        <w:tc>
          <w:tcPr>
            <w:tcW w:w="640" w:type="dxa"/>
          </w:tcPr>
          <w:p w14:paraId="2387E43B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F4B70F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Poprawność załączników i ich spójność z wnioskiem aplikacyjnym</w:t>
            </w:r>
          </w:p>
        </w:tc>
        <w:tc>
          <w:tcPr>
            <w:tcW w:w="4186" w:type="dxa"/>
          </w:tcPr>
          <w:p w14:paraId="7C39A32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podlega, czy:</w:t>
            </w:r>
          </w:p>
          <w:p w14:paraId="4A34C677" w14:textId="77777777" w:rsidR="00167F94" w:rsidRPr="00795E24" w:rsidRDefault="00167F94" w:rsidP="00592664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Wnioskodawca załączył wszystkie obligatoryjne na etapie aplikowania załączniki; </w:t>
            </w:r>
          </w:p>
          <w:p w14:paraId="65AE9F2A" w14:textId="77777777" w:rsidR="00167F94" w:rsidRPr="00795E24" w:rsidRDefault="00167F94" w:rsidP="00592664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dołączone do wniosku załączniki są prawidłowo sporządzone, aktualne i wydane przez upoważniony organ (jeśli dotyczy) a ich zapisy są spójne z zapisami wniosku.</w:t>
            </w:r>
          </w:p>
          <w:p w14:paraId="771D0996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357" w:type="dxa"/>
          </w:tcPr>
          <w:p w14:paraId="3005BEF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77B22B4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690E51F0" w14:textId="3E4E2593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również do uzupełnienia lub poprawy projektu.</w:t>
            </w:r>
          </w:p>
        </w:tc>
        <w:tc>
          <w:tcPr>
            <w:tcW w:w="2350" w:type="dxa"/>
          </w:tcPr>
          <w:p w14:paraId="656A539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3B163EF8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F7A8BE1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68672047" w14:textId="77777777" w:rsidTr="00592664">
        <w:tc>
          <w:tcPr>
            <w:tcW w:w="640" w:type="dxa"/>
          </w:tcPr>
          <w:p w14:paraId="0C580DB0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911CA9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Kwalifikowalność wydatków </w:t>
            </w:r>
            <w:r w:rsidRPr="00795E24">
              <w:rPr>
                <w:rFonts w:cstheme="minorHAnsi"/>
                <w:sz w:val="24"/>
                <w:szCs w:val="24"/>
              </w:rPr>
              <w:t xml:space="preserve">zaplanowanych w projekcie </w:t>
            </w:r>
          </w:p>
        </w:tc>
        <w:tc>
          <w:tcPr>
            <w:tcW w:w="4186" w:type="dxa"/>
            <w:vAlign w:val="center"/>
          </w:tcPr>
          <w:p w14:paraId="2A96D34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773460B9" w14:textId="77777777" w:rsidR="00167F94" w:rsidRPr="00795E24" w:rsidRDefault="00167F94" w:rsidP="00592664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wydatki planowane do współfinansowania są wydatkami kwalifikowalnymi zgodnie z zapisami krajowych Wytycznych w zakresie kwalifikowalności wydatków w ramach Europejskiego Funduszu Rozwoju Regionalnego, Europejskiego Funduszu Społecznego oraz Funduszu Spójności w okresie programowania 2021-2027, zapisami SZOP FE SL 2021-2027 oraz Regulaminem wyboru projektów;</w:t>
            </w:r>
          </w:p>
          <w:p w14:paraId="2F6F84CE" w14:textId="77777777" w:rsidR="00167F94" w:rsidRPr="00795E24" w:rsidRDefault="00167F94" w:rsidP="00592664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wydatki mieszczą się w limitach określonych w FE SL na lata 2021-2027, SZOP FE SL 2021-2027 oraz Regulaminie wyboru projektów;</w:t>
            </w:r>
          </w:p>
          <w:p w14:paraId="6446A661" w14:textId="77777777" w:rsidR="00167F94" w:rsidRPr="00795E24" w:rsidRDefault="00167F94" w:rsidP="00592664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czy wydatki zostały/zostaną poniesione w okresie kwalifikowalności wydatków tj. czy w przypadku wydatków już poniesionych, żaden z wydatków nie został poniesiony przed 1 stycznia 2021 r.;</w:t>
            </w:r>
          </w:p>
          <w:p w14:paraId="0569C563" w14:textId="77777777" w:rsidR="00167F94" w:rsidRPr="00795E24" w:rsidRDefault="00167F94" w:rsidP="00592664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 przypadku wydatków zaplanowanych do poniesienia, zostaną one poniesione najpóźniej 31 grudnia 2029 r.</w:t>
            </w:r>
          </w:p>
          <w:p w14:paraId="45C61AE4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5C0271F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4DA37F0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22A0E90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1218682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D60FD0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  <w:p w14:paraId="1CD8EE36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937453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69B518E6" w14:textId="77777777" w:rsidTr="00592664">
        <w:tc>
          <w:tcPr>
            <w:tcW w:w="640" w:type="dxa"/>
          </w:tcPr>
          <w:p w14:paraId="574E20B4" w14:textId="77777777" w:rsidR="00167F94" w:rsidRPr="00795E24" w:rsidRDefault="00167F94" w:rsidP="00592664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B497C3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Czy Wnioskodawca dokonał nieuzasadnionych zmian? (dotyczy wniosków, które podlegały </w:t>
            </w:r>
            <w:r w:rsidRPr="00795E24">
              <w:rPr>
                <w:rFonts w:cstheme="minorHAnsi"/>
                <w:spacing w:val="-2"/>
                <w:sz w:val="24"/>
                <w:szCs w:val="24"/>
              </w:rPr>
              <w:t>uzupełnieniom)</w:t>
            </w:r>
          </w:p>
        </w:tc>
        <w:tc>
          <w:tcPr>
            <w:tcW w:w="4186" w:type="dxa"/>
            <w:vAlign w:val="center"/>
          </w:tcPr>
          <w:p w14:paraId="69E39A5E" w14:textId="77777777" w:rsidR="00E278D3" w:rsidRPr="00795E24" w:rsidRDefault="00167F94" w:rsidP="005926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1D99383B" w14:textId="138ED73A" w:rsidR="00167F94" w:rsidRPr="00795E24" w:rsidRDefault="00167F94" w:rsidP="005926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w związku z uzupełnieniem/poprawą dokumentacji aplikacyjnej, nie dokonano nieuzasadnionych zmian innych niż te, wynikające z wezwania do uzupełnienia/ bądź stanowiące uspójnienie dotychczasowych zapisów wniosku, o których mowa w Regulaminie wyboru projektów:</w:t>
            </w:r>
          </w:p>
          <w:p w14:paraId="1A0EEBE7" w14:textId="77777777" w:rsidR="00167F94" w:rsidRPr="00795E24" w:rsidRDefault="00167F94" w:rsidP="00592664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dodanie/usunięcie wydatku,</w:t>
            </w:r>
          </w:p>
          <w:p w14:paraId="497CC6CC" w14:textId="77777777" w:rsidR="00167F94" w:rsidRPr="00795E24" w:rsidRDefault="00167F94" w:rsidP="00592664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 xml:space="preserve">zwiększenie wartości całkowitego dofinansowania pierwotnie złożonego wniosku, </w:t>
            </w:r>
          </w:p>
          <w:p w14:paraId="52E35DB2" w14:textId="77777777" w:rsidR="00167F94" w:rsidRPr="00795E24" w:rsidRDefault="00167F94" w:rsidP="00592664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dodanie/usunięcie celu lub rezultatu projektu).</w:t>
            </w:r>
          </w:p>
          <w:p w14:paraId="778E4A7B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7" w:type="dxa"/>
          </w:tcPr>
          <w:p w14:paraId="28CC423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F147F8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50" w:type="dxa"/>
          </w:tcPr>
          <w:p w14:paraId="106E7369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343" w:type="dxa"/>
          </w:tcPr>
          <w:p w14:paraId="784E2A2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4"/>
    </w:tbl>
    <w:p w14:paraId="1FF1830C" w14:textId="77777777" w:rsidR="00167F94" w:rsidRPr="00795E24" w:rsidRDefault="00167F94" w:rsidP="00167F94">
      <w:pPr>
        <w:rPr>
          <w:rFonts w:asciiTheme="minorHAnsi" w:hAnsiTheme="minorHAnsi" w:cstheme="minorHAnsi"/>
          <w:sz w:val="24"/>
          <w:szCs w:val="24"/>
        </w:rPr>
      </w:pPr>
    </w:p>
    <w:p w14:paraId="0F3D3842" w14:textId="77777777" w:rsidR="00167F94" w:rsidRPr="00795E24" w:rsidRDefault="00167F94" w:rsidP="00167F94">
      <w:pPr>
        <w:rPr>
          <w:rFonts w:asciiTheme="minorHAnsi" w:hAnsiTheme="minorHAnsi" w:cstheme="minorHAnsi"/>
          <w:b/>
          <w:sz w:val="24"/>
          <w:szCs w:val="24"/>
        </w:rPr>
      </w:pPr>
      <w:r w:rsidRPr="00795E24">
        <w:rPr>
          <w:rFonts w:asciiTheme="minorHAnsi" w:hAnsiTheme="minorHAnsi" w:cstheme="minorHAnsi"/>
          <w:b/>
          <w:sz w:val="24"/>
          <w:szCs w:val="24"/>
        </w:rPr>
        <w:t>Kryteria merytoryczne:</w:t>
      </w:r>
    </w:p>
    <w:p w14:paraId="3AA3E7BC" w14:textId="5EF5BBB5" w:rsidR="00167F94" w:rsidRPr="00795E24" w:rsidRDefault="00167F94" w:rsidP="00167F94">
      <w:pPr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</w:t>
      </w:r>
      <w:r w:rsidR="00DE1008" w:rsidRPr="00795E24">
        <w:rPr>
          <w:rFonts w:asciiTheme="minorHAnsi" w:hAnsiTheme="minorHAnsi" w:cstheme="minorHAnsi"/>
          <w:sz w:val="24"/>
          <w:szCs w:val="24"/>
        </w:rPr>
        <w:t>iego</w:t>
      </w:r>
      <w:r w:rsidRPr="00795E24">
        <w:rPr>
          <w:rFonts w:asciiTheme="minorHAnsi" w:hAnsiTheme="minorHAnsi" w:cstheme="minorHAnsi"/>
          <w:sz w:val="24"/>
          <w:szCs w:val="24"/>
        </w:rPr>
        <w:t xml:space="preserve"> 2021 - 2027, Szczegółowego Opisu Priorytetów programu Funduszy Europejskich dla Śląskiego 2021-2027 obowiązującego na moment zatwierdzenia pakietu aplikacyjnego. Oceny w zakresie merytorycznych kryteriów wyboru projektów dokonują eksperci zewnętrzni, będący członkami Komisji Oceny Projektów, ujęci w Wykazie kandydatów na ekspertów w ramach FE SL 2021-2027.</w:t>
      </w:r>
    </w:p>
    <w:p w14:paraId="3CFDF422" w14:textId="77777777" w:rsidR="00167F94" w:rsidRPr="00795E24" w:rsidRDefault="00167F94" w:rsidP="00167F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t>W ramach oceny spełnienia kryteriów merytorycznych projekt poddawany jest ocenie pod kątem kryteriów zero-jedynkowych, czyli przypisaniu każdemu z kryterium wartości logicznych TAK / NIE – zasada „0–1” (nie spełnia kryterium / spełnia kryterium). Wszystkie kryteria merytoryczne są obligatoryjne do spełnienia, spełnienie ich jest warunkiem pozytywnej oceny projektu.</w:t>
      </w:r>
    </w:p>
    <w:p w14:paraId="534BD178" w14:textId="56D38767" w:rsidR="00167F94" w:rsidRPr="00795E24" w:rsidRDefault="00167F94" w:rsidP="00167F94">
      <w:pPr>
        <w:rPr>
          <w:rFonts w:asciiTheme="minorHAnsi" w:hAnsiTheme="minorHAnsi" w:cstheme="minorHAnsi"/>
          <w:sz w:val="24"/>
          <w:szCs w:val="24"/>
        </w:rPr>
      </w:pPr>
      <w:r w:rsidRPr="00795E24">
        <w:rPr>
          <w:rFonts w:asciiTheme="minorHAnsi" w:hAnsiTheme="minorHAnsi" w:cstheme="minorHAnsi"/>
          <w:sz w:val="24"/>
          <w:szCs w:val="24"/>
        </w:rPr>
        <w:br/>
        <w:t>Niespełnienie co najmniej jednego kryterium merytorycznego zero-jedynkowego powoduje, że projekt otrzymuje ocenę negatywną i nie kwalifikuje się do dofinansowania.</w:t>
      </w:r>
      <w:r w:rsidR="00592664" w:rsidRPr="00795E24">
        <w:rPr>
          <w:rFonts w:asciiTheme="minorHAnsi" w:hAnsiTheme="minorHAnsi" w:cstheme="minorHAnsi"/>
          <w:sz w:val="24"/>
          <w:szCs w:val="24"/>
        </w:rPr>
        <w:br/>
      </w:r>
      <w:r w:rsidRPr="00795E24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Pr="00795E24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795E24">
        <w:rPr>
          <w:rFonts w:asciiTheme="minorHAnsi" w:hAnsiTheme="minorHAnsi" w:cstheme="minorHAnsi"/>
          <w:b/>
          <w:sz w:val="24"/>
          <w:szCs w:val="24"/>
        </w:rPr>
        <w:instrText xml:space="preserve"> SEQ Tabela \* ARABIC </w:instrText>
      </w:r>
      <w:r w:rsidRPr="00795E2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717CD5" w:rsidRPr="00795E24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Pr="00795E24">
        <w:rPr>
          <w:rFonts w:asciiTheme="minorHAnsi" w:hAnsiTheme="minorHAnsi" w:cstheme="minorHAnsi"/>
          <w:sz w:val="24"/>
          <w:szCs w:val="24"/>
        </w:rPr>
        <w:fldChar w:fldCharType="end"/>
      </w:r>
      <w:r w:rsidRPr="00795E24">
        <w:rPr>
          <w:rFonts w:asciiTheme="minorHAnsi" w:hAnsiTheme="minorHAnsi" w:cstheme="minorHAnsi"/>
          <w:b/>
          <w:sz w:val="24"/>
          <w:szCs w:val="24"/>
        </w:rPr>
        <w:t>. Kryteria merytoryczne</w:t>
      </w:r>
    </w:p>
    <w:tbl>
      <w:tblPr>
        <w:tblStyle w:val="Tabela-Siatka"/>
        <w:tblpPr w:leftFromText="141" w:rightFromText="141" w:vertAnchor="page" w:horzAnchor="margin" w:tblpY="1741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40"/>
        <w:gridCol w:w="3145"/>
        <w:gridCol w:w="4119"/>
        <w:gridCol w:w="2303"/>
        <w:gridCol w:w="2116"/>
        <w:gridCol w:w="2148"/>
      </w:tblGrid>
      <w:tr w:rsidR="00167F94" w:rsidRPr="00795E24" w14:paraId="0153B0E7" w14:textId="77777777" w:rsidTr="00592664">
        <w:trPr>
          <w:tblHeader/>
        </w:trPr>
        <w:tc>
          <w:tcPr>
            <w:tcW w:w="640" w:type="dxa"/>
            <w:shd w:val="clear" w:color="auto" w:fill="BFBFBF" w:themeFill="background1" w:themeFillShade="BF"/>
          </w:tcPr>
          <w:p w14:paraId="1EAFC7E8" w14:textId="77777777" w:rsidR="00167F94" w:rsidRPr="00795E24" w:rsidRDefault="00167F94" w:rsidP="00592664">
            <w:pPr>
              <w:pStyle w:val="Akapitzlist"/>
              <w:ind w:left="22"/>
              <w:rPr>
                <w:rFonts w:cstheme="minorHAnsi"/>
                <w:sz w:val="24"/>
                <w:szCs w:val="24"/>
              </w:rPr>
            </w:pPr>
            <w:bookmarkStart w:id="6" w:name="_Hlk126234906"/>
            <w:r w:rsidRPr="00795E24">
              <w:rPr>
                <w:rFonts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5894C48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19" w:type="dxa"/>
            <w:shd w:val="clear" w:color="auto" w:fill="BFBFBF" w:themeFill="background1" w:themeFillShade="BF"/>
          </w:tcPr>
          <w:p w14:paraId="5E455B0B" w14:textId="77777777" w:rsidR="00167F94" w:rsidRPr="00795E24" w:rsidRDefault="00167F94" w:rsidP="00592664">
            <w:pPr>
              <w:rPr>
                <w:rFonts w:cstheme="minorHAnsi"/>
                <w:b/>
                <w:sz w:val="24"/>
                <w:szCs w:val="24"/>
              </w:rPr>
            </w:pPr>
            <w:r w:rsidRPr="00795E24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25C29E9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364A1E4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14:paraId="54778DF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098D005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167F94" w:rsidRPr="00795E24" w14:paraId="09FAA6F7" w14:textId="77777777" w:rsidTr="00592664">
        <w:trPr>
          <w:tblHeader/>
        </w:trPr>
        <w:tc>
          <w:tcPr>
            <w:tcW w:w="640" w:type="dxa"/>
          </w:tcPr>
          <w:p w14:paraId="02B63B7A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4147B9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Promocja i rozwój przedsiębiorstw z sektora MŚP na arenie międzynarodowej</w:t>
            </w:r>
          </w:p>
        </w:tc>
        <w:tc>
          <w:tcPr>
            <w:tcW w:w="4119" w:type="dxa"/>
            <w:vAlign w:val="center"/>
          </w:tcPr>
          <w:p w14:paraId="40D5D45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663ECFB3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projekt pozytywnie wpływa na internacjonalizację przedsiębiorstw prowadzących działalność w województwie śląskim oraz na postrzeganie sektora przedsiębiorczości województwa śląskiego jako atrakcyjnego dla potencjalnych inwestorów/kooperantów zagranicznych;</w:t>
            </w:r>
          </w:p>
          <w:p w14:paraId="7403B0A7" w14:textId="3B6E05C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projekt ma pozytywny wpływ na rozwój eksportu.</w:t>
            </w:r>
          </w:p>
          <w:p w14:paraId="4C9CEED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Powyższe ocenia się z uwzględnieniem:</w:t>
            </w:r>
          </w:p>
          <w:p w14:paraId="3B840886" w14:textId="2FED0345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realizacja projektu przyczynia się do umacniania i tworzenia narzędzi eksportu</w:t>
            </w:r>
            <w:r w:rsidR="005A42E9" w:rsidRPr="00795E24">
              <w:rPr>
                <w:rFonts w:eastAsia="Times New Roman" w:cstheme="minorHAnsi"/>
                <w:sz w:val="24"/>
                <w:szCs w:val="24"/>
              </w:rPr>
              <w:t xml:space="preserve"> ( w tym doradztwo, warsztaty, </w:t>
            </w:r>
            <w:r w:rsidR="005A42E9"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spotkania dostosowane do indywidualnych potrzeb itp.)</w:t>
            </w:r>
          </w:p>
          <w:p w14:paraId="5347C2A9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określono warunki minimalne, które umożliwią ocenę opłacalności wsparcia (umowy o współpracy z instytucjami międzynarodowymi, porozumienia, listy intencyjne);</w:t>
            </w:r>
          </w:p>
          <w:p w14:paraId="0303C043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realizacja projektu przyczyni się do ograniczenia negatywnych w zakresie internacjonalizacji skutków związanych z aktualną sytuacją gospodarczą w tym czy projekt prowadzić może do wzmocnienia łańcucha dostaw dla sektora przedsiębiorczości województwa śląskiego;</w:t>
            </w:r>
          </w:p>
          <w:p w14:paraId="41F38F46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realizacja projektu wpłynie pozytywnie na rozpoznawalność marki/potencjał przedsiębiorstw z województwa śląskiego;</w:t>
            </w:r>
          </w:p>
          <w:p w14:paraId="37CC4E78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czy dzięki realizacji projektu realnym będzie wzrost atrakcyjności sektora przedsiębiorczości, wzrost kapitału zagranicznego, wzrost kontraktów międzynarodowych zawartych przez przedsiębiorstwa z województwa śląskiego.</w:t>
            </w:r>
          </w:p>
          <w:p w14:paraId="33EB1A8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nie jest spełnione, kiedy Ekspert uzna, że którykolwiek ze wskazanych powyżej aspektów nie będzie realizowany.</w:t>
            </w:r>
          </w:p>
          <w:p w14:paraId="5D647039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71321EB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AD1FEF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52E4C13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6C295DA6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25AF9C5B" w14:textId="77777777" w:rsidTr="00592664">
        <w:trPr>
          <w:tblHeader/>
        </w:trPr>
        <w:tc>
          <w:tcPr>
            <w:tcW w:w="640" w:type="dxa"/>
          </w:tcPr>
          <w:p w14:paraId="6FE3F65E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76F6D8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Potencjał administracyjny, finansowy i organizacyjny Wnioskodawcy i Partnera/Partnerów</w:t>
            </w:r>
          </w:p>
        </w:tc>
        <w:tc>
          <w:tcPr>
            <w:tcW w:w="4119" w:type="dxa"/>
            <w:vAlign w:val="center"/>
          </w:tcPr>
          <w:p w14:paraId="28C9DE23" w14:textId="77777777" w:rsidR="00167F94" w:rsidRPr="00795E24" w:rsidRDefault="00167F94" w:rsidP="00592664">
            <w:pPr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</w:t>
            </w:r>
            <w:r w:rsidRPr="00795E24">
              <w:rPr>
                <w:rFonts w:eastAsia="Times New Roman" w:cstheme="minorHAnsi"/>
                <w:sz w:val="24"/>
                <w:szCs w:val="24"/>
              </w:rPr>
              <w:t xml:space="preserve"> czy  Wnioskodawca posiada potencjał administracyjny, finansowy i organizacyjny niezbędny do realizacji projektu w tym m.in.:</w:t>
            </w:r>
          </w:p>
          <w:p w14:paraId="635BB57C" w14:textId="77777777" w:rsidR="00167F94" w:rsidRPr="00795E24" w:rsidRDefault="00167F94" w:rsidP="00592664">
            <w:pPr>
              <w:pStyle w:val="Akapitzlist"/>
              <w:numPr>
                <w:ilvl w:val="0"/>
                <w:numId w:val="41"/>
              </w:numPr>
              <w:suppressAutoHyphens/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posiada odpowiednie zasoby ludzkie (organizacyjne oraz kadrowe); </w:t>
            </w:r>
          </w:p>
          <w:p w14:paraId="504E4EE8" w14:textId="77777777" w:rsidR="00167F94" w:rsidRPr="00795E24" w:rsidRDefault="00167F94" w:rsidP="00592664">
            <w:pPr>
              <w:pStyle w:val="Akapitzlist"/>
              <w:numPr>
                <w:ilvl w:val="0"/>
                <w:numId w:val="41"/>
              </w:numPr>
              <w:suppressAutoHyphens/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czy posiada odpowiednie zasoby techniczne (posiadana infrastruktura); </w:t>
            </w:r>
          </w:p>
          <w:p w14:paraId="1BCEFBD7" w14:textId="686E02E3" w:rsidR="00167F94" w:rsidRPr="00795E24" w:rsidRDefault="00167F94" w:rsidP="00592664">
            <w:pPr>
              <w:pStyle w:val="Akapitzlist"/>
              <w:numPr>
                <w:ilvl w:val="0"/>
                <w:numId w:val="41"/>
              </w:numPr>
              <w:suppressAutoHyphens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zakres projektu, sposób wykonania, okres realizacji, posiadane pozwolenia, zezwolenia umożliwiają realizację projektu. </w:t>
            </w:r>
          </w:p>
          <w:p w14:paraId="6EA036FA" w14:textId="77777777" w:rsidR="00167F94" w:rsidRPr="00795E24" w:rsidRDefault="00167F94" w:rsidP="00592664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 również:</w:t>
            </w:r>
          </w:p>
          <w:p w14:paraId="136A06CA" w14:textId="77777777" w:rsidR="00167F94" w:rsidRPr="00795E24" w:rsidRDefault="00167F94" w:rsidP="00592664">
            <w:pPr>
              <w:pStyle w:val="Akapitzlist"/>
              <w:numPr>
                <w:ilvl w:val="0"/>
                <w:numId w:val="41"/>
              </w:numPr>
              <w:suppressAutoHyphens/>
              <w:spacing w:after="16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Wnioskodawca posiada potencjał finansowy zapewniający wykonalność projektu. Weryfikacji dokonuje się na podstawie załączonych dokumentów finansowych (m.in.  sprawozdań finansowych, ewentualnie dokumentów potwierdzających posiadanie środków na realizację projektu, </w:t>
            </w:r>
            <w:r w:rsidRPr="00795E24">
              <w:rPr>
                <w:rFonts w:cstheme="minorHAnsi"/>
                <w:sz w:val="24"/>
                <w:szCs w:val="24"/>
              </w:rPr>
              <w:t xml:space="preserve"> w sytuacji w której Wnioskodawca dostarczy stosowny załącznik,</w:t>
            </w:r>
            <w:r w:rsidRPr="00795E24">
              <w:rPr>
                <w:rFonts w:eastAsia="Times New Roman" w:cstheme="minorHAnsi"/>
                <w:sz w:val="24"/>
                <w:szCs w:val="24"/>
              </w:rPr>
              <w:t xml:space="preserve"> harmonogramu składania wniosków o zaliczkę/ płatność pośrednią/ płatność końcową),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dodatkowych załączników oraz opisu wniosku w tym prognoz finansowych.</w:t>
            </w:r>
          </w:p>
          <w:p w14:paraId="5ADEC53A" w14:textId="0AA840A5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ocenie potencjału</w:t>
            </w:r>
            <w:r w:rsidR="00EB4180"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sz w:val="24"/>
                <w:szCs w:val="24"/>
              </w:rPr>
              <w:t xml:space="preserve">organizacyjnego i administracyjnego weryfikacji podlega stan zastany jak i deklaratywny (wskazany we wniosku m.in. jako zakres rzeczowy). </w:t>
            </w:r>
          </w:p>
          <w:p w14:paraId="2F41381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nie jest spełnione, kiedy oceniający uzna, że Wnioskodawca nie spełnia przynajmniej jednego z wyżej wymienionych aspektów.</w:t>
            </w:r>
          </w:p>
          <w:p w14:paraId="74115AB0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58D102B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5619B7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C96098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52F8966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59157430" w14:textId="77777777" w:rsidTr="00592664">
        <w:trPr>
          <w:tblHeader/>
        </w:trPr>
        <w:tc>
          <w:tcPr>
            <w:tcW w:w="640" w:type="dxa"/>
          </w:tcPr>
          <w:p w14:paraId="5D0E10D8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FA91AB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Metodologia projektu</w:t>
            </w:r>
          </w:p>
        </w:tc>
        <w:tc>
          <w:tcPr>
            <w:tcW w:w="4119" w:type="dxa"/>
            <w:vAlign w:val="center"/>
          </w:tcPr>
          <w:p w14:paraId="1573B08F" w14:textId="77777777" w:rsidR="00167F94" w:rsidRPr="00795E24" w:rsidRDefault="00167F94" w:rsidP="00592664">
            <w:pPr>
              <w:pStyle w:val="Tekstkomentarza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>W ramach kryterium ocenie podlega:</w:t>
            </w:r>
          </w:p>
          <w:p w14:paraId="12492702" w14:textId="33822D22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projekt wynika ze zdiagnozowanych potrzeb sektora przedsiębiorczości województwa śląskiego</w:t>
            </w:r>
            <w:r w:rsidR="00D55B16" w:rsidRPr="00795E24">
              <w:rPr>
                <w:rFonts w:eastAsia="Times New Roman" w:cstheme="minorHAnsi"/>
                <w:sz w:val="24"/>
                <w:szCs w:val="24"/>
              </w:rPr>
              <w:t xml:space="preserve"> wskazanych w Programie FE SL 2021-2027 oraz w Strategii Rozwoju Województwa Śląskiego „Śląskie 20</w:t>
            </w:r>
            <w:r w:rsidR="00C71DC6" w:rsidRPr="00795E24">
              <w:rPr>
                <w:rFonts w:eastAsia="Times New Roman" w:cstheme="minorHAnsi"/>
                <w:sz w:val="24"/>
                <w:szCs w:val="24"/>
              </w:rPr>
              <w:t>3</w:t>
            </w:r>
            <w:r w:rsidR="00D55B16" w:rsidRPr="00795E24">
              <w:rPr>
                <w:rFonts w:eastAsia="Times New Roman" w:cstheme="minorHAnsi"/>
                <w:sz w:val="24"/>
                <w:szCs w:val="24"/>
              </w:rPr>
              <w:t>0”</w:t>
            </w:r>
            <w:r w:rsidRPr="00795E24">
              <w:rPr>
                <w:rFonts w:eastAsia="Times New Roman" w:cstheme="minorHAnsi"/>
                <w:sz w:val="24"/>
                <w:szCs w:val="24"/>
              </w:rPr>
              <w:t xml:space="preserve">, a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jego założenia (cele i przedmiot projektu) są realne do realizacji;</w:t>
            </w:r>
          </w:p>
          <w:p w14:paraId="1B6A2F07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podjęte w ramach projektu działania są adekwatne do zdefiniowanych problemów, czy odpowiadają na wskazane potrzeby; </w:t>
            </w:r>
          </w:p>
          <w:p w14:paraId="539AD4F7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zaplanowane zadania prowadzą do osiągnięcia celu/celów i rezultatu/rezultatów określonych we wniosku, (dysponowanie przez Wnioskodawcę rzetelnymi danymi w powyższym zakresie, umożliwi uzasadnienie konieczności realizacji projektu,  jego  zakresu  rzeczowego  oraz  zaplanowanych  do  osiągnięcia  rezultatów );</w:t>
            </w:r>
          </w:p>
          <w:p w14:paraId="75E8F51F" w14:textId="142EFCD4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</w:t>
            </w:r>
            <w:r w:rsidR="008837D1" w:rsidRPr="00795E24">
              <w:rPr>
                <w:rFonts w:eastAsia="Times New Roman" w:cstheme="minorHAnsi"/>
                <w:sz w:val="24"/>
                <w:szCs w:val="24"/>
              </w:rPr>
              <w:t>działania zaplanowane w projekcie</w:t>
            </w:r>
            <w:r w:rsidRPr="00795E24">
              <w:rPr>
                <w:rFonts w:eastAsia="Times New Roman" w:cstheme="minorHAnsi"/>
                <w:sz w:val="24"/>
                <w:szCs w:val="24"/>
              </w:rPr>
              <w:t xml:space="preserve"> stanowią logiczną całość;</w:t>
            </w:r>
          </w:p>
          <w:p w14:paraId="0510ADF6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czy zdefiniowano i opisano ewentualne ryzyka związane z projektem i przewidziano działania eliminujące lub łagodzące ich skutki;</w:t>
            </w:r>
          </w:p>
          <w:p w14:paraId="6BEE680B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przewidziany sposób zarządzania w projekcie gwarantuje jego prawidłową realizację.</w:t>
            </w:r>
          </w:p>
          <w:p w14:paraId="341A583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nie jest spełnione, kiedy Ekspert uzna, że którykolwiek z aspektów nie został osiągnięty a brak jego realizacji uniemożliwi spełnienie kryterium.</w:t>
            </w:r>
          </w:p>
          <w:p w14:paraId="71B8323D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426C47B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F07431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4A6AC5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692F5D26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5A795B28" w14:textId="77777777" w:rsidTr="00592664">
        <w:trPr>
          <w:tblHeader/>
        </w:trPr>
        <w:tc>
          <w:tcPr>
            <w:tcW w:w="640" w:type="dxa"/>
          </w:tcPr>
          <w:p w14:paraId="2717392B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0F8F76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Właściwie przygotowana analiza finansowa i ekonomiczna projektu</w:t>
            </w:r>
          </w:p>
        </w:tc>
        <w:tc>
          <w:tcPr>
            <w:tcW w:w="4119" w:type="dxa"/>
            <w:vAlign w:val="center"/>
          </w:tcPr>
          <w:p w14:paraId="2A37B030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356EFAC1" w14:textId="77777777" w:rsidR="00167F94" w:rsidRPr="00795E24" w:rsidRDefault="00167F94" w:rsidP="0059266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adekwatność i poprawność przyjętych założeń, danych wejściowych oraz przepływów finansowych generowanych przez projekt uwzględniając prawidłowość udzielenia wsparcia. Analiza powinna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uwzględniać uwarunkowania rynkowe oraz specyfikę projektu ujmując ilościowe i jakościowe skutki realizacji projektu w oparciu o wszystkie istotne środowiskowe, gospodarcze i społeczne efekty prezentując je, jeżeli to możliwe w kategoriach ilościowych.</w:t>
            </w:r>
          </w:p>
          <w:p w14:paraId="7D96855E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Powyższe elementy stanowią niezbędne minimum do oceny przedmiotowego kryterium. Kryterium nie jest spełnione, kiedy Ekspert uzna, że którykolwiek z elementów został wskazany niepoprawnie, został przeszacowany lub jest niezgodny z ogólnodostępnymi danymi. </w:t>
            </w:r>
          </w:p>
          <w:p w14:paraId="12875D63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6E166AB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D08E0D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8A5B953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58C3615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6A2888ED" w14:textId="77777777" w:rsidTr="00592664">
        <w:trPr>
          <w:tblHeader/>
        </w:trPr>
        <w:tc>
          <w:tcPr>
            <w:tcW w:w="640" w:type="dxa"/>
          </w:tcPr>
          <w:p w14:paraId="7CAAFB99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683164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Realizacja wskaźników</w:t>
            </w:r>
          </w:p>
        </w:tc>
        <w:tc>
          <w:tcPr>
            <w:tcW w:w="4119" w:type="dxa"/>
            <w:vAlign w:val="center"/>
          </w:tcPr>
          <w:p w14:paraId="2DFA07F2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6C0F8F33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zaplanowane do osiągnięcia w projekcie efekty w postaci wskaźników są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możliwe do zrealizowania przy pomocy działań zaplanowanych w projekcie; </w:t>
            </w:r>
          </w:p>
          <w:p w14:paraId="2BF591E3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zaplanowane wskaźniki przyczynią się do osiągnięcia celów i rezultatów działania określonych w SZOP </w:t>
            </w:r>
            <w:r w:rsidRPr="00795E24">
              <w:rPr>
                <w:rFonts w:cstheme="minorHAnsi"/>
                <w:sz w:val="24"/>
                <w:szCs w:val="24"/>
              </w:rPr>
              <w:t>FE SL 2021-2027.</w:t>
            </w:r>
          </w:p>
          <w:p w14:paraId="50AA4454" w14:textId="287FEF42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95E24">
              <w:rPr>
                <w:rFonts w:eastAsia="Calibri" w:cstheme="minorHAnsi"/>
                <w:sz w:val="24"/>
                <w:szCs w:val="24"/>
              </w:rPr>
              <w:t>W przypadku przeprowadzenia nieprawidłowego oszacowania</w:t>
            </w:r>
            <w:r w:rsidR="008837D1" w:rsidRPr="00795E2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95E24">
              <w:rPr>
                <w:rFonts w:eastAsia="Calibri" w:cstheme="minorHAnsi"/>
                <w:sz w:val="24"/>
                <w:szCs w:val="24"/>
              </w:rPr>
              <w:t>(wartość docelowa wskaźnika jest zaniżona lub zawyżona) Ekspert ma możliwość dokonania korekty, uwzględniającej</w:t>
            </w:r>
            <w:r w:rsidR="00EB4180" w:rsidRPr="00795E2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95E24">
              <w:rPr>
                <w:rFonts w:eastAsia="Calibri" w:cstheme="minorHAnsi"/>
                <w:sz w:val="24"/>
                <w:szCs w:val="24"/>
              </w:rPr>
              <w:t xml:space="preserve">wskazanie prawidłowej wartości wskaźnika. </w:t>
            </w:r>
          </w:p>
          <w:p w14:paraId="2F0C1CD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795E24">
              <w:rPr>
                <w:rFonts w:eastAsia="Calibri" w:cstheme="minorHAnsi"/>
                <w:sz w:val="24"/>
                <w:szCs w:val="24"/>
              </w:rPr>
              <w:t xml:space="preserve">Procedura korekty wskaźników zostanie określona w Regulaminie wyboru projektów. </w:t>
            </w:r>
            <w:r w:rsidRPr="00795E24">
              <w:rPr>
                <w:rFonts w:cstheme="minorHAnsi"/>
                <w:sz w:val="24"/>
                <w:szCs w:val="24"/>
                <w:lang w:eastAsia="pl-PL"/>
              </w:rPr>
              <w:t>W sytuacji konieczności dokonania korekty w ramach przedmiotowego kryterium, Wnioskodawca zostanie poproszony o stosowną poprawę wniosku przed podpisaniem umowy o dofinansowanie/ wydaniem decyzji o dofinansowaniu.</w:t>
            </w:r>
          </w:p>
          <w:p w14:paraId="7EBC15A9" w14:textId="77777777" w:rsidR="00167F94" w:rsidRPr="00795E24" w:rsidRDefault="00167F94" w:rsidP="005926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Kryterium nie jest spełnione, kiedy Ekspert uzna, że zakres działań jest niewystarczający do osiągnięcia wskaźników.</w:t>
            </w:r>
          </w:p>
          <w:p w14:paraId="1097EA43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2F02B52D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5ED58F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D7AB87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7804C5E3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2867BAA1" w14:textId="77777777" w:rsidTr="00592664">
        <w:trPr>
          <w:tblHeader/>
        </w:trPr>
        <w:tc>
          <w:tcPr>
            <w:tcW w:w="640" w:type="dxa"/>
          </w:tcPr>
          <w:p w14:paraId="3019E8DB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D06DD9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Zasadność i odpowiednia wysokość wydatków </w:t>
            </w:r>
          </w:p>
        </w:tc>
        <w:tc>
          <w:tcPr>
            <w:tcW w:w="4119" w:type="dxa"/>
            <w:vAlign w:val="center"/>
          </w:tcPr>
          <w:p w14:paraId="3B6FE75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4F0B97DA" w14:textId="77777777" w:rsidR="00167F94" w:rsidRPr="00795E24" w:rsidRDefault="00167F94" w:rsidP="00592664">
            <w:pPr>
              <w:pStyle w:val="Akapitzlist"/>
              <w:numPr>
                <w:ilvl w:val="0"/>
                <w:numId w:val="43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E24">
              <w:rPr>
                <w:rFonts w:eastAsia="Times New Roman" w:cstheme="minorHAnsi"/>
                <w:sz w:val="24"/>
                <w:szCs w:val="24"/>
                <w:lang w:eastAsia="pl-PL"/>
              </w:rPr>
              <w:t>czy wszystkie wydatki są zasadne z punktu widzenia realizacji i wykonalności projektu oraz czy ich wysokość odpowiada cenom rynkowym.</w:t>
            </w:r>
          </w:p>
          <w:p w14:paraId="0ACD6176" w14:textId="63E36E6F" w:rsidR="00167F94" w:rsidRPr="00795E24" w:rsidRDefault="00167F94" w:rsidP="0059266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795E24">
              <w:rPr>
                <w:rFonts w:cstheme="minorHAnsi"/>
                <w:sz w:val="24"/>
                <w:szCs w:val="24"/>
                <w:lang w:eastAsia="pl-PL"/>
              </w:rPr>
              <w:t xml:space="preserve">Ekspert ma możliwość korekty wydatków w przypadku uznania ich za niezasadne lub o zawyżonej wartości. </w:t>
            </w:r>
            <w:r w:rsidR="003C0380" w:rsidRPr="00795E24">
              <w:rPr>
                <w:rFonts w:cstheme="minorHAnsi"/>
                <w:sz w:val="24"/>
                <w:szCs w:val="24"/>
                <w:lang w:eastAsia="pl-PL"/>
              </w:rPr>
              <w:t xml:space="preserve">Poziom obniżenia lub uznanie wydatku za nieuzasadniony nie może przekroczyć 20% wartości całkowitych wydatków kwalifikowanych projektu. Eksperci wypracowują stanowisko odnośnie korekty wydatków i odnotowują ten fakt na karcie oceny merytorycznej. Jeżeli zdaniem ekspertów więcej niż 20% wartości </w:t>
            </w:r>
            <w:r w:rsidR="003C0380" w:rsidRPr="00795E24">
              <w:rPr>
                <w:rFonts w:cstheme="minorHAnsi"/>
                <w:sz w:val="24"/>
                <w:szCs w:val="24"/>
                <w:lang w:eastAsia="pl-PL"/>
              </w:rPr>
              <w:lastRenderedPageBreak/>
              <w:t>wydatków kwalifikowanych jest nieuzasadnione lub zawyżone uznaje się, że projekt nie spełnia kryterium. Procedura korekty została wskazana w Regulaminie wyboru projektów.</w:t>
            </w:r>
          </w:p>
          <w:p w14:paraId="271093E2" w14:textId="19408110" w:rsidR="003C0380" w:rsidRPr="00795E24" w:rsidRDefault="003C0380" w:rsidP="0059266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795E24">
              <w:rPr>
                <w:rFonts w:cstheme="minorHAnsi"/>
                <w:sz w:val="24"/>
                <w:szCs w:val="24"/>
                <w:lang w:eastAsia="pl-PL"/>
              </w:rPr>
              <w:t>Wnioskodawca zostanie poproszony o stosowną poprawę wniosku o dofinansowanie przed podpisaniem umowy o dofinansowanie/decyzji o dofinansowanie.</w:t>
            </w:r>
          </w:p>
          <w:p w14:paraId="73EC74DC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514C17A1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F335121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EBC506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3966661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41C532BC" w14:textId="77777777" w:rsidTr="00592664">
        <w:trPr>
          <w:tblHeader/>
        </w:trPr>
        <w:tc>
          <w:tcPr>
            <w:tcW w:w="640" w:type="dxa"/>
          </w:tcPr>
          <w:p w14:paraId="2E6F7B65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5DDA16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Pomoc publiczna i de minimis w projekcie </w:t>
            </w:r>
          </w:p>
        </w:tc>
        <w:tc>
          <w:tcPr>
            <w:tcW w:w="4119" w:type="dxa"/>
            <w:vAlign w:val="center"/>
          </w:tcPr>
          <w:p w14:paraId="2286438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13D9CB6B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wnioskodawca dokonał w sposób właściwy analizy projektu pod kątem przesłanek wynikających z art. 107 ust. 1 TFUE.</w:t>
            </w:r>
            <w:r w:rsidRPr="00795E24" w:rsidDel="00A502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t>(ocena kryterium jest przeprowadzana w oparciu o test pomocy publicznej, a także pozostałe zapisy dokumentacji aplikacyjnej);</w:t>
            </w:r>
          </w:p>
          <w:p w14:paraId="255D89E3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czy wsparcie udzielone przedsiębiorcom w ramach pomocy de minimis będzie udzielane zgodnie z obowiązującymi przepisami wynikającymi z Rozporządzenia Komisji (UE) NR 1407/2013 z dnia 18 grudnia 2013 r. w sprawie stosowania art. 107 i 108 Traktatu o funkcjonowaniu Unii Europejskiej do pomocy de minimis w szczególności z uwzględnieniem sektorów wykluczonych i limitów oraz Rozporządzeniem Ministra Funduszy i Polityki Regionalnej z dnia 29 września 2022 r. w sprawie udzielania pomocy de minimis w ramach regionalnych programów na lata 2021-2027,</w:t>
            </w:r>
          </w:p>
          <w:p w14:paraId="107F7DEB" w14:textId="77777777" w:rsidR="00167F94" w:rsidRPr="00795E24" w:rsidRDefault="00167F94" w:rsidP="00592664">
            <w:pPr>
              <w:pStyle w:val="Akapitzlist"/>
              <w:ind w:left="870"/>
              <w:rPr>
                <w:rFonts w:eastAsia="Times New Roman" w:cstheme="minorHAnsi"/>
                <w:sz w:val="24"/>
                <w:szCs w:val="24"/>
              </w:rPr>
            </w:pPr>
            <w:bookmarkStart w:id="7" w:name="_Hlk124944023"/>
            <w:r w:rsidRPr="00795E24">
              <w:rPr>
                <w:rFonts w:eastAsia="Times New Roman" w:cstheme="minorHAnsi"/>
                <w:sz w:val="24"/>
                <w:szCs w:val="24"/>
              </w:rPr>
              <w:t xml:space="preserve">w szczególności czy Wnioskodawca przedstawił jakie wsparcie będzie redystrybuować i do jakiej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grupy przedsiębiorstw będzie ono skierowane oraz</w:t>
            </w:r>
          </w:p>
          <w:p w14:paraId="060E598C" w14:textId="77777777" w:rsidR="00167F94" w:rsidRPr="00795E24" w:rsidRDefault="00167F94" w:rsidP="00592664">
            <w:pPr>
              <w:pStyle w:val="Akapitzlist"/>
              <w:ind w:left="87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Wnioskodawca przedstawił kryteria wyboru przedsiębiorstw, którym pomoc de minimis zostanie udzielona.</w:t>
            </w:r>
          </w:p>
          <w:bookmarkEnd w:id="7"/>
          <w:p w14:paraId="6F8DF3A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nie jest spełnione, kiedy Ekspert uzna, że projekt jest niezgodny z przepisami dot. pomocy publicznej/ pomocy de minimis.</w:t>
            </w:r>
          </w:p>
          <w:p w14:paraId="33CA06F2" w14:textId="77777777" w:rsidR="00167F94" w:rsidRPr="00795E24" w:rsidRDefault="00167F94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68793652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D25E1C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15337A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708BE460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6475FE37" w14:textId="77777777" w:rsidTr="00592664">
        <w:trPr>
          <w:tblHeader/>
        </w:trPr>
        <w:tc>
          <w:tcPr>
            <w:tcW w:w="640" w:type="dxa"/>
          </w:tcPr>
          <w:p w14:paraId="45381F0D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50C1DE0" w14:textId="77777777" w:rsidR="00167F94" w:rsidRPr="00795E24" w:rsidRDefault="00167F94" w:rsidP="00592664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>Zgodność z polityką rozwoju gospodarczego, w tym Strategią Rozwoju Województwa Śląskiego „Śląskie 2030”</w:t>
            </w:r>
            <w:r w:rsidRPr="00795E24">
              <w:rPr>
                <w:rStyle w:val="Odwoanieprzypisukocowego"/>
                <w:rFonts w:asciiTheme="minorHAnsi" w:hAnsiTheme="minorHAnsi" w:cstheme="minorHAnsi"/>
                <w:sz w:val="24"/>
                <w:szCs w:val="24"/>
              </w:rPr>
              <w:endnoteReference w:id="1"/>
            </w: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E2E04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76C3160D" w14:textId="77777777" w:rsidR="00167F94" w:rsidRPr="00795E24" w:rsidRDefault="00167F94" w:rsidP="00592664">
            <w:pPr>
              <w:pStyle w:val="Tekstkomentarza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>Weryfikacji podlega,</w:t>
            </w:r>
          </w:p>
          <w:p w14:paraId="3531E024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 xml:space="preserve">czy projekt wpisuje się w kompleksowe i skoordynowane działania związane z promocją gospodarczą, które będą oparte o wypracowaną wspólnie z partnerami gospodarczymi, spójną politykę inwestycyjną regionu. Weryfikacja kryterium </w:t>
            </w:r>
            <w:r w:rsidRPr="00795E24">
              <w:rPr>
                <w:rFonts w:eastAsia="Times New Roman" w:cstheme="minorHAnsi"/>
                <w:sz w:val="24"/>
                <w:szCs w:val="24"/>
              </w:rPr>
              <w:lastRenderedPageBreak/>
              <w:t>odbywać się będzie w odniesieniu do dokumentu Polityka rozwoju gospodarczego Województwa Śląskiego;</w:t>
            </w:r>
          </w:p>
          <w:p w14:paraId="5570A2D0" w14:textId="77777777" w:rsidR="00167F94" w:rsidRPr="00795E24" w:rsidRDefault="00167F94" w:rsidP="00592664">
            <w:pPr>
              <w:pStyle w:val="Akapitzlist"/>
              <w:numPr>
                <w:ilvl w:val="0"/>
                <w:numId w:val="40"/>
              </w:numPr>
              <w:spacing w:after="16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95E24">
              <w:rPr>
                <w:rFonts w:eastAsia="Times New Roman" w:cstheme="minorHAnsi"/>
                <w:sz w:val="24"/>
                <w:szCs w:val="24"/>
              </w:rPr>
              <w:t>czy projekt realizuje cele i kierunki pozwalające na istotne zmiany gospodarcze prowadzące do pobudzenia tempa rozwoju gospodarczego regionu w oparciu o dynamicznie rozwijający się sektor przedsiębiorstw innowacyjnych.</w:t>
            </w:r>
          </w:p>
          <w:p w14:paraId="5D22E851" w14:textId="77777777" w:rsidR="00167F94" w:rsidRPr="00795E24" w:rsidRDefault="00167F94" w:rsidP="00592664">
            <w:pPr>
              <w:pStyle w:val="Tekstkomentarza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>Weryfikacja kryterium odbywać się będzie w odniesieniu do celów rozwoju województwa śląskiego wskazanych w dokumentach:</w:t>
            </w:r>
          </w:p>
          <w:p w14:paraId="1F3754B4" w14:textId="77777777" w:rsidR="00167F94" w:rsidRPr="00795E24" w:rsidRDefault="00167F94" w:rsidP="00592664">
            <w:pPr>
              <w:pStyle w:val="Tekstkomentarza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>- Strategia Rozwoju Województwa Śląskiego „Śląskie 2030”.</w:t>
            </w:r>
          </w:p>
          <w:p w14:paraId="28B938BC" w14:textId="77777777" w:rsidR="00167F94" w:rsidRPr="00795E24" w:rsidRDefault="00167F94" w:rsidP="00592664">
            <w:pPr>
              <w:pStyle w:val="Tekstkomentarza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E24">
              <w:rPr>
                <w:rFonts w:asciiTheme="minorHAnsi" w:hAnsiTheme="minorHAnsi" w:cstheme="minorHAnsi"/>
                <w:sz w:val="24"/>
                <w:szCs w:val="24"/>
              </w:rPr>
              <w:t xml:space="preserve">Wskazane w dokumencie cele i kierunki wskazują drogę oraz narzędzia pozwalające na istotne zmiany gospodarcze prowadzące do pobudzenia tempa rozwoju gospodarczego regionu w oparciu o </w:t>
            </w:r>
            <w:r w:rsidRPr="00795E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dynamicznie rozwijający się sektor przedsiębiorstw innowacyjnych. Strategia „Śląskie 2030” odpowiada również na wyzwania demograficzne stojące przed województwem śląskim oraz związane z poprawą warunków życia w regionie, zarówno dla jego obecnych, jak i przyszłych mieszkańców. Realizacja zapisów strategicznych składających się na wspomnianą wizję będzie wymagała zaangażowania licznych podmiotów sceny regionalnej.</w:t>
            </w:r>
          </w:p>
          <w:p w14:paraId="2EB417EB" w14:textId="0B3828A8" w:rsidR="005A42E9" w:rsidRPr="00795E24" w:rsidRDefault="005A42E9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Kryterium  </w:t>
            </w:r>
            <w:r w:rsidR="00E278D3" w:rsidRPr="00795E24">
              <w:rPr>
                <w:rFonts w:cstheme="minorHAnsi"/>
                <w:sz w:val="24"/>
                <w:szCs w:val="24"/>
              </w:rPr>
              <w:t>nie jest</w:t>
            </w:r>
            <w:r w:rsidRPr="00795E24">
              <w:rPr>
                <w:rFonts w:cstheme="minorHAnsi"/>
                <w:sz w:val="24"/>
                <w:szCs w:val="24"/>
              </w:rPr>
              <w:t xml:space="preserve"> spełnione, kiedy Ekspert uzna, że projekt nie realizuje założeń </w:t>
            </w:r>
            <w:r w:rsidR="00037648" w:rsidRPr="00795E24">
              <w:rPr>
                <w:rFonts w:cstheme="minorHAnsi"/>
                <w:sz w:val="24"/>
                <w:szCs w:val="24"/>
              </w:rPr>
              <w:t xml:space="preserve"> Strategii Rozwoju Województwa Śląskiego „Śląskie 2030”.</w:t>
            </w:r>
          </w:p>
          <w:p w14:paraId="64C258BD" w14:textId="66D6EC45" w:rsidR="00E278D3" w:rsidRPr="00795E24" w:rsidRDefault="00E278D3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0ED33FB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93F853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4E6DBA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5786ABB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4EEA5F4C" w14:textId="77777777" w:rsidTr="00592664">
        <w:trPr>
          <w:tblHeader/>
        </w:trPr>
        <w:tc>
          <w:tcPr>
            <w:tcW w:w="640" w:type="dxa"/>
          </w:tcPr>
          <w:p w14:paraId="1DA67E6A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74C7AB5" w14:textId="3BE3FFAE" w:rsidR="00167F94" w:rsidRPr="00795E24" w:rsidRDefault="009D7A2E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Zgodność projektu z zasadą równości szans i niedyskryminacji, w tym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dostępności dla osób z niepełnosprawnościami</w:t>
            </w:r>
          </w:p>
        </w:tc>
        <w:tc>
          <w:tcPr>
            <w:tcW w:w="4119" w:type="dxa"/>
            <w:vAlign w:val="center"/>
          </w:tcPr>
          <w:p w14:paraId="3349D7F2" w14:textId="157D012F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Przez zgodność projektu z zasadą równości szans i niedyskryminacji, w tym dostępności dla osób z niepełnosprawnościami należy rozumieć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pozytywny wpływ projektu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poprzez standardy dostępności) lub jeśli to niemożliwe – racjonalne usprawnienie (oba zdefiniowanie w ww. Wytycznych). W przypadku nowych produktów projektów (np. zasobów cyfrowych, środków transportu, infrastruktury, usług) muszą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one być zgodne z zasadami uniwersalnego projektowania – co oznacza co najmniej zastosowanie standardów dostępności dla polityki spójności na lata 2021-2027. W przypadku obiektów i zasobów </w:t>
            </w:r>
            <w:r w:rsidRPr="00795E24">
              <w:rPr>
                <w:rFonts w:cstheme="minorHAnsi"/>
                <w:sz w:val="24"/>
                <w:szCs w:val="24"/>
              </w:rPr>
              <w:t xml:space="preserve"> modernizowanych</w:t>
            </w:r>
            <w:r w:rsidRPr="00795E24">
              <w:rPr>
                <w:rStyle w:val="Odwoanieprzypisukocowego"/>
                <w:rFonts w:cstheme="minorHAnsi"/>
                <w:sz w:val="24"/>
                <w:szCs w:val="24"/>
              </w:rPr>
              <w:endnoteReference w:id="2"/>
            </w:r>
            <w:r w:rsidRPr="00795E24">
              <w:rPr>
                <w:rFonts w:cstheme="minorHAnsi"/>
                <w:sz w:val="24"/>
                <w:szCs w:val="24"/>
              </w:rPr>
              <w:t xml:space="preserve"> (m.in. przebudowa</w:t>
            </w:r>
            <w:r w:rsidRPr="00795E24">
              <w:rPr>
                <w:rStyle w:val="Odwoanieprzypisukocowego"/>
                <w:rFonts w:cstheme="minorHAnsi"/>
                <w:sz w:val="24"/>
                <w:szCs w:val="24"/>
              </w:rPr>
              <w:endnoteReference w:id="3"/>
            </w:r>
            <w:r w:rsidRPr="00795E24">
              <w:rPr>
                <w:rFonts w:cstheme="minorHAnsi"/>
                <w:sz w:val="24"/>
                <w:szCs w:val="24"/>
              </w:rPr>
              <w:t>, rozbudowa</w:t>
            </w:r>
            <w:r w:rsidRPr="00795E24">
              <w:rPr>
                <w:rStyle w:val="Odwoanieprzypisukocowego"/>
                <w:rFonts w:cstheme="minorHAnsi"/>
                <w:sz w:val="24"/>
                <w:szCs w:val="24"/>
              </w:rPr>
              <w:endnoteReference w:id="4"/>
            </w:r>
            <w:r w:rsidRPr="00795E24">
              <w:rPr>
                <w:rFonts w:cstheme="minorHAnsi"/>
                <w:sz w:val="24"/>
                <w:szCs w:val="24"/>
              </w:rPr>
              <w:t>),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 zastosowanie standardów dostępności jest obowiązkowe, o ile pozwalają na to warunki techniczne i zakres prowadzonej modernizacji.</w:t>
            </w:r>
          </w:p>
          <w:p w14:paraId="051F2C5A" w14:textId="77A31B8C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14:paraId="4E7789ED" w14:textId="4764C1E5" w:rsidR="00167F94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W przypadku negatywnego lub neutralnego wpływu projektu na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>realizację zasady równości szans i niedyskryminacji, w tym dostępności dla osób z niepełnosprawnościami, kryterium zostanie uznane za niespełnione.</w:t>
            </w:r>
          </w:p>
          <w:p w14:paraId="659A8ADD" w14:textId="27506FCD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</w:p>
          <w:p w14:paraId="3B373261" w14:textId="74CE3EE9" w:rsidR="00167F94" w:rsidRPr="00795E24" w:rsidRDefault="009D7A2E" w:rsidP="00592664">
            <w:pPr>
              <w:spacing w:before="240" w:after="160" w:line="259" w:lineRule="auto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4F94886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042D1F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E7D705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5D4C306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6CAC8507" w14:textId="77777777" w:rsidTr="00592664">
        <w:trPr>
          <w:trHeight w:val="1975"/>
          <w:tblHeader/>
        </w:trPr>
        <w:tc>
          <w:tcPr>
            <w:tcW w:w="640" w:type="dxa"/>
          </w:tcPr>
          <w:p w14:paraId="1056CC11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CDF5967" w14:textId="58BB2B17" w:rsidR="00167F94" w:rsidRPr="00795E24" w:rsidRDefault="009D7A2E" w:rsidP="00592664">
            <w:pPr>
              <w:ind w:left="108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4119" w:type="dxa"/>
            <w:vAlign w:val="center"/>
          </w:tcPr>
          <w:p w14:paraId="28A39C3E" w14:textId="77777777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Przez zgodność z zasadą równości kobiet i mężczyzn należy rozumieć pozytywny lub neutralny wpływ projektu na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realizację  tej  zasady. </w:t>
            </w:r>
          </w:p>
          <w:p w14:paraId="27ADB624" w14:textId="77777777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>stworzenie takich mechanizmów, aby na żadnym etapie wdrażania projektu nie dochodziło do dyskryminacji i wykluczenia ze względu na płeć.</w:t>
            </w:r>
          </w:p>
          <w:p w14:paraId="4E313EB8" w14:textId="77777777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mężczyzn  dopuszczalna jest tylko w sytuacji, kiedy w ramach projektu Wnioskodawca wskaże szczegółowe uzasadnienie, dlaczego dany projekt nie jest w stanie zrealizować jakichkolwiek działań wpływających na spełnienie ww. zasady, a uzasadnienie to zostanie uznane przez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instytucję oceniającą projekt  za adekwatne i wystarczające. </w:t>
            </w:r>
          </w:p>
          <w:p w14:paraId="7DAC4E72" w14:textId="7F6F47BA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7EB0ADEB" w14:textId="6B1FAD18" w:rsidR="009D7A2E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>dot. realizacji zasad horyzontalnych..</w:t>
            </w:r>
          </w:p>
          <w:p w14:paraId="27926176" w14:textId="5B0D1B23" w:rsidR="00167F94" w:rsidRPr="00795E24" w:rsidRDefault="009D7A2E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</w:t>
            </w:r>
          </w:p>
        </w:tc>
        <w:tc>
          <w:tcPr>
            <w:tcW w:w="2303" w:type="dxa"/>
          </w:tcPr>
          <w:p w14:paraId="35B1A42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AF2BC5C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D3119F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6FBE255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206E5E30" w14:textId="77777777" w:rsidTr="00592664">
        <w:trPr>
          <w:tblHeader/>
        </w:trPr>
        <w:tc>
          <w:tcPr>
            <w:tcW w:w="640" w:type="dxa"/>
          </w:tcPr>
          <w:p w14:paraId="31783D61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6CD77200" w14:textId="4916047F" w:rsidR="00167F94" w:rsidRPr="00795E24" w:rsidRDefault="001F1EED" w:rsidP="00592664">
            <w:pPr>
              <w:ind w:left="108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Zgodność projektu </w:t>
            </w:r>
            <w:r w:rsidR="00167F94" w:rsidRPr="00795E24">
              <w:rPr>
                <w:rFonts w:cstheme="minorHAnsi"/>
                <w:sz w:val="24"/>
                <w:szCs w:val="24"/>
              </w:rPr>
              <w:t xml:space="preserve">z Kartą Praw Podstawowych Unii Europejskiej z dnia 26 października 2012 r. (Dz. Urz. UE C 326 z 26.10.2012, str. 391), w zakresie odnoszącym się do sposobu realizacji, zakresu projektu i </w:t>
            </w:r>
            <w:r w:rsidRPr="00795E24">
              <w:rPr>
                <w:rFonts w:cstheme="minorHAnsi"/>
                <w:sz w:val="24"/>
                <w:szCs w:val="24"/>
              </w:rPr>
              <w:t>W</w:t>
            </w:r>
            <w:r w:rsidR="00167F94" w:rsidRPr="00795E24">
              <w:rPr>
                <w:rFonts w:cstheme="minorHAnsi"/>
                <w:sz w:val="24"/>
                <w:szCs w:val="24"/>
              </w:rPr>
              <w:t xml:space="preserve">nioskodawcy.    </w:t>
            </w:r>
          </w:p>
        </w:tc>
        <w:tc>
          <w:tcPr>
            <w:tcW w:w="4119" w:type="dxa"/>
            <w:vAlign w:val="center"/>
          </w:tcPr>
          <w:p w14:paraId="203AD80D" w14:textId="77777777" w:rsidR="001F1EED" w:rsidRPr="00795E24" w:rsidRDefault="001F1EED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03CA7B4C" w14:textId="77777777" w:rsidR="001F1EED" w:rsidRPr="00795E24" w:rsidRDefault="001F1EED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09E8CF28" w14:textId="77777777" w:rsidR="001F1EED" w:rsidRPr="00795E24" w:rsidRDefault="001F1EED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>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435FDC04" w14:textId="5A8B039F" w:rsidR="001F1EED" w:rsidRPr="00795E24" w:rsidRDefault="001F1EED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Dla wnioskodawców i ocieniających mogą być pomocne Wytyczne Komisji Europejskiej dotyczące zapewnienia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>poszanowania Karty praw podstawowych Unii Europejskiej przy wdrażaniu europejskich funduszy strukturalnych i inwestycyjnych, w szczególności załącznik nr III.</w:t>
            </w:r>
          </w:p>
          <w:p w14:paraId="579AB55D" w14:textId="77777777" w:rsidR="000424E7" w:rsidRPr="00795E24" w:rsidRDefault="000424E7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Podstawowych, zwłaszcza zapisów z części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>dot. realizacji zasad horyzontalnych.</w:t>
            </w:r>
          </w:p>
          <w:p w14:paraId="2216E20D" w14:textId="77777777" w:rsidR="000424E7" w:rsidRPr="00795E24" w:rsidRDefault="000424E7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497512B" w14:textId="060AE62A" w:rsidR="00167F94" w:rsidRPr="00795E24" w:rsidRDefault="00361980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303" w:type="dxa"/>
          </w:tcPr>
          <w:p w14:paraId="7C11C68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0FAC03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EAD431E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17F4ABC5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0F9BDB2A" w14:textId="77777777" w:rsidTr="00592664">
        <w:trPr>
          <w:tblHeader/>
        </w:trPr>
        <w:tc>
          <w:tcPr>
            <w:tcW w:w="640" w:type="dxa"/>
          </w:tcPr>
          <w:p w14:paraId="45202510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D3AB78B" w14:textId="62B1536A" w:rsidR="00167F94" w:rsidRPr="00795E24" w:rsidRDefault="001F1EED" w:rsidP="00592664">
            <w:pPr>
              <w:ind w:left="108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Zgodność projektu </w:t>
            </w:r>
            <w:r w:rsidR="00167F94" w:rsidRPr="00795E24">
              <w:rPr>
                <w:rFonts w:cstheme="minorHAnsi"/>
                <w:sz w:val="24"/>
                <w:szCs w:val="24"/>
              </w:rPr>
              <w:t xml:space="preserve">z Konwencją o Prawach Osób Niepełnosprawnych, sporządzoną w Nowym Jorku dnia 13 grudnia 2006 r. (Dz. U. z 2012 r. poz. 1169, z późn. zm.), w zakresie </w:t>
            </w:r>
            <w:r w:rsidR="00167F94" w:rsidRPr="00795E24">
              <w:rPr>
                <w:rFonts w:cstheme="minorHAnsi"/>
                <w:sz w:val="24"/>
                <w:szCs w:val="24"/>
              </w:rPr>
              <w:lastRenderedPageBreak/>
              <w:t>odnoszącym się do sposobu realizacji, zakresu projektu i wnioskodawcy.</w:t>
            </w:r>
          </w:p>
        </w:tc>
        <w:tc>
          <w:tcPr>
            <w:tcW w:w="4119" w:type="dxa"/>
            <w:vAlign w:val="center"/>
          </w:tcPr>
          <w:p w14:paraId="2E3B9916" w14:textId="26D25992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2470D8E1" w14:textId="77777777" w:rsidR="00167F94" w:rsidRPr="00795E24" w:rsidRDefault="001F1EED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zostanie zweryfikowane na podstawie zapisów we wniosku o dofinansowanie projektu, zwłaszcza zapisów z części </w:t>
            </w:r>
            <w:r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>dot. realizacji zasad horyzontalnych.</w:t>
            </w:r>
          </w:p>
          <w:p w14:paraId="3F6CB942" w14:textId="42FF4B25" w:rsidR="00361980" w:rsidRPr="00795E24" w:rsidRDefault="00361980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303" w:type="dxa"/>
          </w:tcPr>
          <w:p w14:paraId="490BF1C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A46CF6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98FB581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5932DED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67F94" w:rsidRPr="00795E24" w14:paraId="385F4484" w14:textId="77777777" w:rsidTr="00592664">
        <w:trPr>
          <w:tblHeader/>
        </w:trPr>
        <w:tc>
          <w:tcPr>
            <w:tcW w:w="640" w:type="dxa"/>
          </w:tcPr>
          <w:p w14:paraId="693393CD" w14:textId="77777777" w:rsidR="00167F94" w:rsidRPr="00795E24" w:rsidRDefault="00167F94" w:rsidP="00592664">
            <w:pPr>
              <w:pStyle w:val="Akapitzlist"/>
              <w:numPr>
                <w:ilvl w:val="0"/>
                <w:numId w:val="34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ABA0C7D" w14:textId="77777777" w:rsidR="00167F94" w:rsidRPr="00795E24" w:rsidRDefault="00167F94" w:rsidP="00592664">
            <w:pPr>
              <w:ind w:left="108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Zgodność projektu z politykami środowiskowymi.”</w:t>
            </w:r>
          </w:p>
        </w:tc>
        <w:tc>
          <w:tcPr>
            <w:tcW w:w="4119" w:type="dxa"/>
            <w:vAlign w:val="center"/>
          </w:tcPr>
          <w:p w14:paraId="4E7E22A0" w14:textId="77777777" w:rsidR="00167F94" w:rsidRPr="00795E24" w:rsidRDefault="00167F94" w:rsidP="005926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580340D8" w14:textId="77777777" w:rsidR="00167F94" w:rsidRPr="00795E24" w:rsidRDefault="00167F94" w:rsidP="00592664">
            <w:pPr>
              <w:pStyle w:val="Akapitzlist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zgodność projektu z zasadą zrównoważonego rozwoju</w:t>
            </w:r>
            <w:r w:rsidRPr="00795E24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FDB8DD1" w14:textId="77777777" w:rsidR="00167F94" w:rsidRPr="00795E24" w:rsidRDefault="00167F94" w:rsidP="00592664">
            <w:pPr>
              <w:pStyle w:val="Akapitzlist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zgodność projektu z Europejskim Zielonym Ładem</w:t>
            </w:r>
          </w:p>
          <w:p w14:paraId="74DC3B40" w14:textId="77777777" w:rsidR="00167F94" w:rsidRPr="00795E24" w:rsidRDefault="00167F94" w:rsidP="00592664">
            <w:pPr>
              <w:pStyle w:val="Akapitzlist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zgodność projektu z zasadą „nie czyń poważnych szkód" </w:t>
            </w:r>
          </w:p>
          <w:p w14:paraId="3FDA0C86" w14:textId="58C4B6AD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Przez </w:t>
            </w:r>
            <w:r w:rsidRPr="00795E24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795E24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naruszenia równowagi w przyrodzie,</w:t>
            </w:r>
            <w:r w:rsidR="00594109" w:rsidRPr="00795E24">
              <w:rPr>
                <w:rFonts w:cstheme="minorHAnsi"/>
                <w:sz w:val="24"/>
                <w:szCs w:val="24"/>
              </w:rPr>
              <w:t xml:space="preserve"> </w:t>
            </w:r>
            <w:r w:rsidRPr="00795E24">
              <w:rPr>
                <w:rFonts w:cstheme="minorHAnsi"/>
                <w:sz w:val="24"/>
                <w:szCs w:val="24"/>
              </w:rPr>
              <w:t>a dodatkowo sprzyja przetrwaniu jej zasobów.</w:t>
            </w:r>
          </w:p>
          <w:p w14:paraId="2B1F375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 formę współpracy przy projekcie (jeżeli będzie to możliwe).Proces zarządzania projektem również będzie się odbywał w ww. sposób np. poprzez ograniczenie zużycia papieru, zdalną formę współpracy ograniczającą ślad węglowy, stosowanie zielonych klauzul w zamówieniach, korzystanie z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energooszczędnych rozwiązań, promocję działań i postaw proekologicznych itp.</w:t>
            </w:r>
          </w:p>
          <w:p w14:paraId="679AC318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795E24">
              <w:rPr>
                <w:rFonts w:cstheme="minorHAnsi"/>
                <w:sz w:val="24"/>
                <w:szCs w:val="24"/>
              </w:rPr>
              <w:t xml:space="preserve"> (EZŁ, ang. European Green Deal) to strategia rozwoju, która ma przekształcić Unię Europejską w obszar neutralny klimatycznie.</w:t>
            </w:r>
          </w:p>
          <w:p w14:paraId="373B5C4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7B506449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Nowa strategia przemysłowa ma gwarantować, że pomimo transformacji, europejskie przedsiębiorstwa nadal będą realizować swoje ambicje i konkurować na poziomie międzynarodowym. Strategia opiera się na 3 postulatach:</w:t>
            </w:r>
          </w:p>
          <w:p w14:paraId="562449D1" w14:textId="77777777" w:rsidR="00167F94" w:rsidRPr="00795E24" w:rsidRDefault="00167F94" w:rsidP="00592664">
            <w:pPr>
              <w:pStyle w:val="Akapitzlist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4930B629" w14:textId="77777777" w:rsidR="00167F94" w:rsidRPr="00795E24" w:rsidRDefault="00167F94" w:rsidP="00592664">
            <w:pPr>
              <w:pStyle w:val="Akapitzlist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6CC91790" w14:textId="77777777" w:rsidR="00167F94" w:rsidRPr="00795E24" w:rsidRDefault="00167F94" w:rsidP="00592664">
            <w:pPr>
              <w:pStyle w:val="Akapitzlist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przemyśle opartym na obiegu zamkniętym</w:t>
            </w:r>
          </w:p>
          <w:p w14:paraId="7999D2E4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 xml:space="preserve">Zasada </w:t>
            </w:r>
            <w:r w:rsidRPr="00795E24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795E24">
              <w:rPr>
                <w:rFonts w:cstheme="minorHAnsi"/>
                <w:sz w:val="24"/>
                <w:szCs w:val="24"/>
              </w:rPr>
              <w:t>(DNSH, ang. Do No Significant Harm) ma być stosowana w projektach powszechnie, przekrojowo, w możliwie szerokim zakresie.</w:t>
            </w:r>
          </w:p>
          <w:p w14:paraId="1D3C5E1B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Zgodnie z normami prawnymi Polityki Spójności, Europejski Fundusz Rozwoju Regionalnego i Fundusz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2FF2ED3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Wykazanie zgodności z zasadą DNSH możliwe jest przez różnorodne środki, dobrane odpowiednio do specyfiki i zakresu rzeczowego projektu. Przestrzeganie zasady DNSH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obowiązuje na wszystkich etapach wdrażania Programu, czyli dotyczy przygotowania projektów, ich oceny, realizacji czy rozliczania.</w:t>
            </w:r>
          </w:p>
          <w:p w14:paraId="1583A57C" w14:textId="0C84B322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We wszystkich projektach w ramach tego celu szczegółowego,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2A27D368" w14:textId="0DA0EBCF" w:rsidR="00037648" w:rsidRPr="00795E24" w:rsidRDefault="00037648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Należy zwrócić uwagę, żeby modernizacje, budowy budynków były przeprowadzane zgodnie z Dyrektywą dotyczącą charakterystyki energetycznej budynków (Dyrektywa 2018/844/UE).</w:t>
            </w:r>
          </w:p>
          <w:p w14:paraId="54E60948" w14:textId="77777777" w:rsidR="00037648" w:rsidRPr="00795E24" w:rsidRDefault="00037648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zielonej infrastruktury, zwłaszcza ochronę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17FEFA75" w14:textId="77777777" w:rsidR="00037648" w:rsidRPr="00795E24" w:rsidRDefault="00037648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59D8D0BA" w14:textId="2BDB122D" w:rsidR="00037648" w:rsidRPr="00795E24" w:rsidRDefault="00037648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Jeżeli realizacja projektu infrastrukturalnego nie oddziałuje na drzewa (np. inwestycje punktowe, obiektowe, termomodernizacja), odpowiednie uzasadnienie należy przedstawić</w:t>
            </w:r>
          </w:p>
          <w:p w14:paraId="76705099" w14:textId="77777777" w:rsidR="00167F94" w:rsidRPr="00795E24" w:rsidRDefault="00167F94" w:rsidP="0059266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 xml:space="preserve">W przypadku, gdy projekt jest niezgodny przynajmniej z jedną ww. </w:t>
            </w:r>
            <w:r w:rsidRPr="00795E24">
              <w:rPr>
                <w:rFonts w:cstheme="minorHAnsi"/>
                <w:sz w:val="24"/>
                <w:szCs w:val="24"/>
              </w:rPr>
              <w:lastRenderedPageBreak/>
              <w:t>zasadą kryterium uznaje się za niespełnione.</w:t>
            </w:r>
          </w:p>
          <w:p w14:paraId="4DD0F385" w14:textId="77777777" w:rsidR="00167F94" w:rsidRPr="00795E24" w:rsidRDefault="00167F94" w:rsidP="0059266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03" w:type="dxa"/>
          </w:tcPr>
          <w:p w14:paraId="641B0B8F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C974968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2E82087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148" w:type="dxa"/>
          </w:tcPr>
          <w:p w14:paraId="2E34BDBA" w14:textId="77777777" w:rsidR="00167F94" w:rsidRPr="00795E24" w:rsidRDefault="00167F94" w:rsidP="00592664">
            <w:pPr>
              <w:rPr>
                <w:rFonts w:cstheme="minorHAnsi"/>
                <w:sz w:val="24"/>
                <w:szCs w:val="24"/>
              </w:rPr>
            </w:pPr>
            <w:r w:rsidRPr="00795E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6"/>
    </w:tbl>
    <w:p w14:paraId="39D43B6B" w14:textId="77777777" w:rsidR="00167F94" w:rsidRPr="00795E24" w:rsidRDefault="00167F94" w:rsidP="00167F9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B699379" w14:textId="77777777" w:rsidR="00D65C47" w:rsidRDefault="00D65C47" w:rsidP="00167F94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sectPr w:rsidR="00D65C47" w:rsidSect="00A31E8B">
      <w:footerReference w:type="default" r:id="rId15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F7E7" w14:textId="77777777" w:rsidR="00236194" w:rsidRDefault="00236194" w:rsidP="009029B5">
      <w:pPr>
        <w:spacing w:after="0" w:line="240" w:lineRule="auto"/>
      </w:pPr>
      <w:r>
        <w:separator/>
      </w:r>
    </w:p>
  </w:endnote>
  <w:endnote w:type="continuationSeparator" w:id="0">
    <w:p w14:paraId="0468A159" w14:textId="77777777" w:rsidR="00236194" w:rsidRDefault="00236194" w:rsidP="009029B5">
      <w:pPr>
        <w:spacing w:after="0" w:line="240" w:lineRule="auto"/>
      </w:pPr>
      <w:r>
        <w:continuationSeparator/>
      </w:r>
    </w:p>
  </w:endnote>
  <w:endnote w:id="1">
    <w:p w14:paraId="1DF84BF1" w14:textId="77777777" w:rsidR="00167F94" w:rsidRPr="00795E24" w:rsidRDefault="00167F94" w:rsidP="00167F94">
      <w:pPr>
        <w:pStyle w:val="Tekstprzypisukocowego"/>
        <w:rPr>
          <w:rFonts w:cstheme="minorHAnsi"/>
          <w:sz w:val="18"/>
          <w:szCs w:val="18"/>
        </w:rPr>
      </w:pPr>
      <w:r w:rsidRPr="00795E24">
        <w:rPr>
          <w:rStyle w:val="Odwoanieprzypisukocowego"/>
          <w:rFonts w:cstheme="minorHAnsi"/>
          <w:sz w:val="18"/>
          <w:szCs w:val="18"/>
        </w:rPr>
        <w:endnoteRef/>
      </w:r>
      <w:r w:rsidRPr="00795E24">
        <w:rPr>
          <w:rFonts w:cstheme="minorHAnsi"/>
          <w:sz w:val="18"/>
          <w:szCs w:val="18"/>
        </w:rPr>
        <w:t xml:space="preserve"> Strategią Rozwoju Województwa Śląskiego „Śląskie 2030” przyjęte uchwałą nr VI/24/1/2020 Sejmiku Województwa Śląskiego z dnia 19.10.2020 r.</w:t>
      </w:r>
    </w:p>
    <w:p w14:paraId="59862EBF" w14:textId="77777777" w:rsidR="00167F94" w:rsidRPr="00795E24" w:rsidRDefault="00167F94" w:rsidP="00167F94">
      <w:pPr>
        <w:pStyle w:val="Tekstprzypisukocowego"/>
        <w:rPr>
          <w:rFonts w:cstheme="minorHAnsi"/>
          <w:sz w:val="18"/>
          <w:szCs w:val="18"/>
        </w:rPr>
      </w:pPr>
    </w:p>
  </w:endnote>
  <w:endnote w:id="2">
    <w:p w14:paraId="335EC926" w14:textId="77777777" w:rsidR="009D7A2E" w:rsidRPr="00795E24" w:rsidRDefault="009D7A2E" w:rsidP="009D7A2E">
      <w:pPr>
        <w:pStyle w:val="Tekstprzypisukocowego"/>
        <w:rPr>
          <w:rFonts w:cstheme="minorHAnsi"/>
          <w:sz w:val="18"/>
          <w:szCs w:val="18"/>
        </w:rPr>
      </w:pPr>
      <w:r w:rsidRPr="00795E24">
        <w:rPr>
          <w:rStyle w:val="Odwoanieprzypisukocowego"/>
          <w:rFonts w:cstheme="minorHAnsi"/>
          <w:sz w:val="18"/>
          <w:szCs w:val="18"/>
        </w:rPr>
        <w:endnoteRef/>
      </w:r>
      <w:r w:rsidRPr="00795E24">
        <w:rPr>
          <w:rFonts w:cstheme="minorHAnsi"/>
          <w:sz w:val="18"/>
          <w:szCs w:val="18"/>
        </w:rPr>
        <w:t xml:space="preserve"> </w:t>
      </w:r>
      <w:bookmarkStart w:id="8" w:name="_Hlk127174016"/>
      <w:r w:rsidRPr="00795E24">
        <w:rPr>
          <w:rFonts w:cstheme="minorHAnsi"/>
          <w:sz w:val="18"/>
          <w:szCs w:val="18"/>
        </w:rPr>
        <w:t>W przypadku modernizacji dostępność dotyczy tych elementów budynku, które są przedmiotem finansowania z funduszy unijnych</w:t>
      </w:r>
      <w:bookmarkEnd w:id="8"/>
      <w:r w:rsidRPr="00795E24">
        <w:rPr>
          <w:rFonts w:cstheme="minorHAnsi"/>
          <w:sz w:val="18"/>
          <w:szCs w:val="18"/>
        </w:rPr>
        <w:t>.</w:t>
      </w:r>
    </w:p>
    <w:p w14:paraId="56578C5F" w14:textId="77777777" w:rsidR="009D7A2E" w:rsidRPr="00795E24" w:rsidRDefault="009D7A2E" w:rsidP="009D7A2E">
      <w:pPr>
        <w:pStyle w:val="Tekstprzypisukocowego"/>
        <w:rPr>
          <w:rFonts w:cstheme="minorHAnsi"/>
          <w:sz w:val="18"/>
          <w:szCs w:val="18"/>
        </w:rPr>
      </w:pPr>
    </w:p>
  </w:endnote>
  <w:endnote w:id="3">
    <w:p w14:paraId="77B102FB" w14:textId="094357A7" w:rsidR="009D7A2E" w:rsidRPr="00795E24" w:rsidRDefault="009D7A2E" w:rsidP="009D7A2E">
      <w:pPr>
        <w:pStyle w:val="Tekstprzypisukocowego"/>
        <w:rPr>
          <w:rFonts w:cstheme="minorHAnsi"/>
          <w:sz w:val="18"/>
          <w:szCs w:val="18"/>
        </w:rPr>
      </w:pPr>
      <w:r w:rsidRPr="00795E24">
        <w:rPr>
          <w:rStyle w:val="Odwoanieprzypisukocowego"/>
          <w:rFonts w:cstheme="minorHAnsi"/>
          <w:sz w:val="18"/>
          <w:szCs w:val="18"/>
        </w:rPr>
        <w:endnoteRef/>
      </w:r>
      <w:r w:rsidRPr="00795E24">
        <w:rPr>
          <w:rFonts w:cstheme="minorHAnsi"/>
          <w:sz w:val="18"/>
          <w:szCs w:val="18"/>
        </w:rPr>
        <w:t xml:space="preserve"> Przebudowa to wykonywanie robót budowlanych, w wyniku których następuje zmiana parametrów użytkowych lub technicznych istniejącego obiektu budowlanego, </w:t>
      </w:r>
      <w:r w:rsidR="00D92524" w:rsidRPr="00795E24">
        <w:rPr>
          <w:rFonts w:cstheme="minorHAnsi"/>
          <w:sz w:val="18"/>
          <w:szCs w:val="18"/>
        </w:rPr>
        <w:br/>
      </w:r>
      <w:r w:rsidRPr="00795E24">
        <w:rPr>
          <w:rFonts w:cstheme="minorHAnsi"/>
          <w:sz w:val="18"/>
          <w:szCs w:val="18"/>
        </w:rPr>
        <w:t>z wyjątkiem charakterystycznych parametrów, jak: kubatura, powierzchnia zabudowy, wysokość, długość, szerokość bądź liczba kondygnacji.</w:t>
      </w:r>
    </w:p>
    <w:p w14:paraId="5CCC5BA8" w14:textId="77777777" w:rsidR="009D7A2E" w:rsidRPr="00795E24" w:rsidRDefault="009D7A2E" w:rsidP="009D7A2E">
      <w:pPr>
        <w:pStyle w:val="Tekstprzypisukocowego"/>
        <w:rPr>
          <w:rFonts w:cstheme="minorHAnsi"/>
          <w:sz w:val="18"/>
          <w:szCs w:val="18"/>
        </w:rPr>
      </w:pPr>
    </w:p>
  </w:endnote>
  <w:endnote w:id="4">
    <w:p w14:paraId="26E51B44" w14:textId="77777777" w:rsidR="009D7A2E" w:rsidRPr="00795E24" w:rsidRDefault="009D7A2E" w:rsidP="009D7A2E">
      <w:pPr>
        <w:pStyle w:val="Tekstprzypisukocowego"/>
        <w:rPr>
          <w:rFonts w:cstheme="minorHAnsi"/>
          <w:sz w:val="18"/>
          <w:szCs w:val="18"/>
        </w:rPr>
      </w:pPr>
      <w:r w:rsidRPr="00795E24">
        <w:rPr>
          <w:rStyle w:val="Odwoanieprzypisukocowego"/>
          <w:rFonts w:cstheme="minorHAnsi"/>
          <w:sz w:val="18"/>
          <w:szCs w:val="18"/>
        </w:rPr>
        <w:endnoteRef/>
      </w:r>
      <w:r w:rsidRPr="00795E24">
        <w:rPr>
          <w:rFonts w:cstheme="minorHAnsi"/>
          <w:sz w:val="18"/>
          <w:szCs w:val="18"/>
        </w:rPr>
        <w:t xml:space="preserve"> Rozbudowa to powiększenie, rozszerzenie budowli, obszaru już zabudowanego, dobudowywanie nowych elementów.</w:t>
      </w:r>
    </w:p>
    <w:p w14:paraId="3E53D45F" w14:textId="77777777" w:rsidR="009D7A2E" w:rsidRDefault="009D7A2E" w:rsidP="009D7A2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DF35BC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A5DE3D4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392">
      <w:rPr>
        <w:noProof/>
      </w:rPr>
      <w:t>1</w:t>
    </w:r>
    <w:r>
      <w:fldChar w:fldCharType="end"/>
    </w:r>
  </w:p>
  <w:p w14:paraId="3FE9F23F" w14:textId="6FD3FA96" w:rsidR="009E1472" w:rsidRDefault="009E1472" w:rsidP="004E551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9973" w14:textId="77777777" w:rsidR="00877752" w:rsidRDefault="00167F94" w:rsidP="008777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AACB03" wp14:editId="233B0F3A">
          <wp:extent cx="5755005" cy="420370"/>
          <wp:effectExtent l="0" t="0" r="0" b="0"/>
          <wp:docPr id="4" name="Obraz 4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ADFD" w14:textId="77777777" w:rsidR="00236194" w:rsidRDefault="00236194" w:rsidP="009029B5">
      <w:pPr>
        <w:spacing w:after="0" w:line="240" w:lineRule="auto"/>
      </w:pPr>
      <w:r>
        <w:separator/>
      </w:r>
    </w:p>
  </w:footnote>
  <w:footnote w:type="continuationSeparator" w:id="0">
    <w:p w14:paraId="52B2659F" w14:textId="77777777" w:rsidR="00236194" w:rsidRDefault="00236194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343"/>
    <w:multiLevelType w:val="hybridMultilevel"/>
    <w:tmpl w:val="FB30F422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C6124"/>
    <w:multiLevelType w:val="hybridMultilevel"/>
    <w:tmpl w:val="78609FEE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F98"/>
    <w:multiLevelType w:val="hybridMultilevel"/>
    <w:tmpl w:val="2C7E4AF8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32551"/>
    <w:multiLevelType w:val="hybridMultilevel"/>
    <w:tmpl w:val="8BE0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D60B7E"/>
    <w:multiLevelType w:val="hybridMultilevel"/>
    <w:tmpl w:val="202A3FEC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1263B"/>
    <w:multiLevelType w:val="hybridMultilevel"/>
    <w:tmpl w:val="4588F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11B32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234B3"/>
    <w:multiLevelType w:val="hybridMultilevel"/>
    <w:tmpl w:val="E7B6D062"/>
    <w:lvl w:ilvl="0" w:tplc="B914B470">
      <w:start w:val="1"/>
      <w:numFmt w:val="bullet"/>
      <w:lvlText w:val="−"/>
      <w:lvlJc w:val="left"/>
      <w:pPr>
        <w:ind w:left="76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30F14"/>
    <w:multiLevelType w:val="hybridMultilevel"/>
    <w:tmpl w:val="6FE04FF6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53C00"/>
    <w:multiLevelType w:val="hybridMultilevel"/>
    <w:tmpl w:val="FF9803F4"/>
    <w:lvl w:ilvl="0" w:tplc="B914B470">
      <w:start w:val="1"/>
      <w:numFmt w:val="bullet"/>
      <w:lvlText w:val="−"/>
      <w:lvlJc w:val="left"/>
      <w:pPr>
        <w:ind w:left="87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755F"/>
    <w:multiLevelType w:val="hybridMultilevel"/>
    <w:tmpl w:val="A634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93045"/>
    <w:multiLevelType w:val="hybridMultilevel"/>
    <w:tmpl w:val="1124D07C"/>
    <w:lvl w:ilvl="0" w:tplc="D9B8E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E7C41"/>
    <w:multiLevelType w:val="hybridMultilevel"/>
    <w:tmpl w:val="5DD413E2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A2ABB"/>
    <w:multiLevelType w:val="hybridMultilevel"/>
    <w:tmpl w:val="CCBCE852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25619"/>
    <w:multiLevelType w:val="hybridMultilevel"/>
    <w:tmpl w:val="9AC61AAA"/>
    <w:lvl w:ilvl="0" w:tplc="7B0CF72E">
      <w:start w:val="1"/>
      <w:numFmt w:val="decimal"/>
      <w:lvlText w:val="%1"/>
      <w:lvlJc w:val="left"/>
      <w:pPr>
        <w:ind w:left="278" w:hanging="1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90B73C">
      <w:start w:val="1"/>
      <w:numFmt w:val="decimal"/>
      <w:lvlText w:val="%2."/>
      <w:lvlJc w:val="left"/>
      <w:pPr>
        <w:ind w:left="2178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5DAC4DE">
      <w:start w:val="1"/>
      <w:numFmt w:val="lowerLetter"/>
      <w:lvlText w:val="%3)"/>
      <w:lvlJc w:val="left"/>
      <w:pPr>
        <w:ind w:left="2809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B1C0B3B4">
      <w:numFmt w:val="bullet"/>
      <w:lvlText w:val=""/>
      <w:lvlJc w:val="left"/>
      <w:pPr>
        <w:ind w:left="3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97505AA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8F6EFD4E">
      <w:numFmt w:val="bullet"/>
      <w:lvlText w:val="•"/>
      <w:lvlJc w:val="left"/>
      <w:pPr>
        <w:ind w:left="6488" w:hanging="360"/>
      </w:pPr>
      <w:rPr>
        <w:rFonts w:hint="default"/>
        <w:lang w:val="pl-PL" w:eastAsia="en-US" w:bidi="ar-SA"/>
      </w:rPr>
    </w:lvl>
    <w:lvl w:ilvl="6" w:tplc="50D211A4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  <w:lvl w:ilvl="7" w:tplc="291A1574">
      <w:numFmt w:val="bullet"/>
      <w:lvlText w:val="•"/>
      <w:lvlJc w:val="left"/>
      <w:pPr>
        <w:ind w:left="9756" w:hanging="360"/>
      </w:pPr>
      <w:rPr>
        <w:rFonts w:hint="default"/>
        <w:lang w:val="pl-PL" w:eastAsia="en-US" w:bidi="ar-SA"/>
      </w:rPr>
    </w:lvl>
    <w:lvl w:ilvl="8" w:tplc="481AA498">
      <w:numFmt w:val="bullet"/>
      <w:lvlText w:val="•"/>
      <w:lvlJc w:val="left"/>
      <w:pPr>
        <w:ind w:left="11390" w:hanging="360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35"/>
  </w:num>
  <w:num w:numId="5">
    <w:abstractNumId w:val="12"/>
  </w:num>
  <w:num w:numId="6">
    <w:abstractNumId w:val="14"/>
  </w:num>
  <w:num w:numId="7">
    <w:abstractNumId w:val="27"/>
  </w:num>
  <w:num w:numId="8">
    <w:abstractNumId w:val="36"/>
  </w:num>
  <w:num w:numId="9">
    <w:abstractNumId w:val="17"/>
  </w:num>
  <w:num w:numId="10">
    <w:abstractNumId w:val="3"/>
  </w:num>
  <w:num w:numId="11">
    <w:abstractNumId w:val="4"/>
  </w:num>
  <w:num w:numId="12">
    <w:abstractNumId w:val="31"/>
  </w:num>
  <w:num w:numId="13">
    <w:abstractNumId w:val="3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0"/>
  </w:num>
  <w:num w:numId="20">
    <w:abstractNumId w:val="16"/>
  </w:num>
  <w:num w:numId="21">
    <w:abstractNumId w:val="26"/>
  </w:num>
  <w:num w:numId="22">
    <w:abstractNumId w:val="13"/>
  </w:num>
  <w:num w:numId="23">
    <w:abstractNumId w:val="16"/>
  </w:num>
  <w:num w:numId="24">
    <w:abstractNumId w:val="13"/>
  </w:num>
  <w:num w:numId="25">
    <w:abstractNumId w:val="26"/>
  </w:num>
  <w:num w:numId="26">
    <w:abstractNumId w:val="33"/>
  </w:num>
  <w:num w:numId="27">
    <w:abstractNumId w:val="29"/>
  </w:num>
  <w:num w:numId="28">
    <w:abstractNumId w:val="18"/>
  </w:num>
  <w:num w:numId="29">
    <w:abstractNumId w:val="22"/>
  </w:num>
  <w:num w:numId="30">
    <w:abstractNumId w:val="9"/>
  </w:num>
  <w:num w:numId="31">
    <w:abstractNumId w:val="20"/>
  </w:num>
  <w:num w:numId="32">
    <w:abstractNumId w:val="0"/>
  </w:num>
  <w:num w:numId="33">
    <w:abstractNumId w:val="37"/>
  </w:num>
  <w:num w:numId="34">
    <w:abstractNumId w:val="23"/>
  </w:num>
  <w:num w:numId="35">
    <w:abstractNumId w:val="41"/>
  </w:num>
  <w:num w:numId="36">
    <w:abstractNumId w:val="34"/>
  </w:num>
  <w:num w:numId="37">
    <w:abstractNumId w:val="15"/>
  </w:num>
  <w:num w:numId="38">
    <w:abstractNumId w:val="1"/>
  </w:num>
  <w:num w:numId="39">
    <w:abstractNumId w:val="40"/>
  </w:num>
  <w:num w:numId="40">
    <w:abstractNumId w:val="30"/>
  </w:num>
  <w:num w:numId="41">
    <w:abstractNumId w:val="7"/>
  </w:num>
  <w:num w:numId="42">
    <w:abstractNumId w:val="25"/>
  </w:num>
  <w:num w:numId="43">
    <w:abstractNumId w:val="6"/>
  </w:num>
  <w:num w:numId="44">
    <w:abstractNumId w:val="32"/>
  </w:num>
  <w:num w:numId="45">
    <w:abstractNumId w:val="39"/>
  </w:num>
  <w:num w:numId="46">
    <w:abstractNumId w:val="8"/>
  </w:num>
  <w:num w:numId="47">
    <w:abstractNumId w:val="28"/>
  </w:num>
  <w:num w:numId="48">
    <w:abstractNumId w:val="1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37648"/>
    <w:rsid w:val="000424E7"/>
    <w:rsid w:val="00052FEB"/>
    <w:rsid w:val="00054F52"/>
    <w:rsid w:val="0006046D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36F5"/>
    <w:rsid w:val="00167F94"/>
    <w:rsid w:val="001733F6"/>
    <w:rsid w:val="00174B15"/>
    <w:rsid w:val="00197F09"/>
    <w:rsid w:val="001A3C70"/>
    <w:rsid w:val="001B6E0A"/>
    <w:rsid w:val="001C6C71"/>
    <w:rsid w:val="001E16F4"/>
    <w:rsid w:val="001F1EED"/>
    <w:rsid w:val="001F5F7A"/>
    <w:rsid w:val="00203C43"/>
    <w:rsid w:val="00217B2A"/>
    <w:rsid w:val="0023555D"/>
    <w:rsid w:val="0023581A"/>
    <w:rsid w:val="00236194"/>
    <w:rsid w:val="002426B9"/>
    <w:rsid w:val="00251BCB"/>
    <w:rsid w:val="00264C43"/>
    <w:rsid w:val="0027427F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2F4CD0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1980"/>
    <w:rsid w:val="003668F0"/>
    <w:rsid w:val="00367A56"/>
    <w:rsid w:val="00370AD8"/>
    <w:rsid w:val="0037477A"/>
    <w:rsid w:val="00376A35"/>
    <w:rsid w:val="00381A46"/>
    <w:rsid w:val="00386B96"/>
    <w:rsid w:val="003902F3"/>
    <w:rsid w:val="003A484B"/>
    <w:rsid w:val="003C0380"/>
    <w:rsid w:val="003C0F43"/>
    <w:rsid w:val="00410D94"/>
    <w:rsid w:val="00411671"/>
    <w:rsid w:val="00413384"/>
    <w:rsid w:val="004201FA"/>
    <w:rsid w:val="00437684"/>
    <w:rsid w:val="00440EBC"/>
    <w:rsid w:val="004420BC"/>
    <w:rsid w:val="00443B37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E551D"/>
    <w:rsid w:val="004E78D3"/>
    <w:rsid w:val="00515CA7"/>
    <w:rsid w:val="00522101"/>
    <w:rsid w:val="00530452"/>
    <w:rsid w:val="00533263"/>
    <w:rsid w:val="00541040"/>
    <w:rsid w:val="005465A2"/>
    <w:rsid w:val="00547E53"/>
    <w:rsid w:val="00550462"/>
    <w:rsid w:val="0055375D"/>
    <w:rsid w:val="005570A7"/>
    <w:rsid w:val="00557EDC"/>
    <w:rsid w:val="00592664"/>
    <w:rsid w:val="00594109"/>
    <w:rsid w:val="005A1ED6"/>
    <w:rsid w:val="005A42E9"/>
    <w:rsid w:val="005B6314"/>
    <w:rsid w:val="005C0BFF"/>
    <w:rsid w:val="005C5EA9"/>
    <w:rsid w:val="005C77F0"/>
    <w:rsid w:val="005E49FF"/>
    <w:rsid w:val="0062463D"/>
    <w:rsid w:val="0063188E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392"/>
    <w:rsid w:val="006F5F71"/>
    <w:rsid w:val="00706CB6"/>
    <w:rsid w:val="00717CD5"/>
    <w:rsid w:val="0075478F"/>
    <w:rsid w:val="00755761"/>
    <w:rsid w:val="00757EEC"/>
    <w:rsid w:val="0076572D"/>
    <w:rsid w:val="007707E2"/>
    <w:rsid w:val="0077668D"/>
    <w:rsid w:val="0077767B"/>
    <w:rsid w:val="0078339D"/>
    <w:rsid w:val="00792861"/>
    <w:rsid w:val="00793EBA"/>
    <w:rsid w:val="00795E24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7D1"/>
    <w:rsid w:val="008838CC"/>
    <w:rsid w:val="00884232"/>
    <w:rsid w:val="008904C2"/>
    <w:rsid w:val="008A0202"/>
    <w:rsid w:val="008C3234"/>
    <w:rsid w:val="008C5123"/>
    <w:rsid w:val="008E3B92"/>
    <w:rsid w:val="008F0BA9"/>
    <w:rsid w:val="008F35E0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D7A2E"/>
    <w:rsid w:val="009E1472"/>
    <w:rsid w:val="009E43C9"/>
    <w:rsid w:val="009F1A30"/>
    <w:rsid w:val="009F60B0"/>
    <w:rsid w:val="00A106C0"/>
    <w:rsid w:val="00A22E9B"/>
    <w:rsid w:val="00A243AE"/>
    <w:rsid w:val="00A27313"/>
    <w:rsid w:val="00A54113"/>
    <w:rsid w:val="00A6025E"/>
    <w:rsid w:val="00A7368F"/>
    <w:rsid w:val="00A76040"/>
    <w:rsid w:val="00A82C7E"/>
    <w:rsid w:val="00A84060"/>
    <w:rsid w:val="00A85155"/>
    <w:rsid w:val="00A9307C"/>
    <w:rsid w:val="00A9395D"/>
    <w:rsid w:val="00AB1014"/>
    <w:rsid w:val="00AB6C33"/>
    <w:rsid w:val="00AD3B71"/>
    <w:rsid w:val="00B01329"/>
    <w:rsid w:val="00B028B9"/>
    <w:rsid w:val="00B038C0"/>
    <w:rsid w:val="00B045E1"/>
    <w:rsid w:val="00B12BE4"/>
    <w:rsid w:val="00B17135"/>
    <w:rsid w:val="00B229CD"/>
    <w:rsid w:val="00B51B92"/>
    <w:rsid w:val="00B65021"/>
    <w:rsid w:val="00B72462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60621"/>
    <w:rsid w:val="00C71DC6"/>
    <w:rsid w:val="00CA3A97"/>
    <w:rsid w:val="00CB4EC3"/>
    <w:rsid w:val="00CD548B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031A"/>
    <w:rsid w:val="00D028E9"/>
    <w:rsid w:val="00D0340B"/>
    <w:rsid w:val="00D104F6"/>
    <w:rsid w:val="00D22D09"/>
    <w:rsid w:val="00D314B5"/>
    <w:rsid w:val="00D40D80"/>
    <w:rsid w:val="00D55B16"/>
    <w:rsid w:val="00D56AB9"/>
    <w:rsid w:val="00D65C47"/>
    <w:rsid w:val="00D776DB"/>
    <w:rsid w:val="00D81305"/>
    <w:rsid w:val="00D8305F"/>
    <w:rsid w:val="00D842D1"/>
    <w:rsid w:val="00D84F8F"/>
    <w:rsid w:val="00D92524"/>
    <w:rsid w:val="00D9362C"/>
    <w:rsid w:val="00D9382A"/>
    <w:rsid w:val="00D9696F"/>
    <w:rsid w:val="00D96C48"/>
    <w:rsid w:val="00D9718D"/>
    <w:rsid w:val="00DC33D0"/>
    <w:rsid w:val="00DE1008"/>
    <w:rsid w:val="00DE1857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278D3"/>
    <w:rsid w:val="00E316F0"/>
    <w:rsid w:val="00E33044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B4180"/>
    <w:rsid w:val="00EC5F89"/>
    <w:rsid w:val="00EE2607"/>
    <w:rsid w:val="00F15B78"/>
    <w:rsid w:val="00F16CB4"/>
    <w:rsid w:val="00F22E62"/>
    <w:rsid w:val="00F248D9"/>
    <w:rsid w:val="00F27A18"/>
    <w:rsid w:val="00F454FF"/>
    <w:rsid w:val="00F5772A"/>
    <w:rsid w:val="00F6220C"/>
    <w:rsid w:val="00F64B6E"/>
    <w:rsid w:val="00F70630"/>
    <w:rsid w:val="00F74A97"/>
    <w:rsid w:val="00F7633A"/>
    <w:rsid w:val="00F768C6"/>
    <w:rsid w:val="00F77CDD"/>
    <w:rsid w:val="00F806B4"/>
    <w:rsid w:val="00F85200"/>
    <w:rsid w:val="00F9631D"/>
    <w:rsid w:val="00FA6E5E"/>
    <w:rsid w:val="00FB09AF"/>
    <w:rsid w:val="00FB54FD"/>
    <w:rsid w:val="00FD553A"/>
    <w:rsid w:val="00FE097F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4E5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E551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51D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5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51D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51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B418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F967CFD1-1916-4006-88B2-283E95D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42</Pages>
  <Words>4995</Words>
  <Characters>29971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01.10 Promocja eksportu i internacjonalizacja MŚP</dc:title>
  <dc:subject/>
  <dc:creator>Woźniak Anna</dc:creator>
  <cp:keywords/>
  <cp:lastModifiedBy>Brodzka Magdalena</cp:lastModifiedBy>
  <cp:revision>23</cp:revision>
  <cp:lastPrinted>2023-03-14T05:44:00Z</cp:lastPrinted>
  <dcterms:created xsi:type="dcterms:W3CDTF">2023-03-14T05:44:00Z</dcterms:created>
  <dcterms:modified xsi:type="dcterms:W3CDTF">2023-03-30T05:40:00Z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