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E" w:rsidRPr="007A7F62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 w:rsidR="00100C6C">
        <w:rPr>
          <w:rFonts w:asciiTheme="minorHAnsi" w:eastAsiaTheme="minorEastAsia" w:hAnsiTheme="minorHAnsi" w:cstheme="minorBidi"/>
          <w:b/>
          <w:bCs/>
          <w:sz w:val="24"/>
          <w:szCs w:val="24"/>
        </w:rPr>
        <w:t>13</w:t>
      </w:r>
    </w:p>
    <w:p w:rsidR="00F5772A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:rsidR="00F5772A" w:rsidRPr="00CB4EC3" w:rsidRDefault="00DD24B9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program </w:t>
      </w:r>
      <w:r w:rsidR="00CA3A97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2021- 2027</w:t>
      </w:r>
    </w:p>
    <w:p w:rsidR="00A6025E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DD24B9">
        <w:rPr>
          <w:rFonts w:asciiTheme="minorHAnsi" w:eastAsiaTheme="minorEastAsia" w:hAnsiTheme="minorHAnsi" w:cstheme="minorBidi"/>
          <w:b/>
          <w:bCs/>
          <w:sz w:val="24"/>
          <w:szCs w:val="24"/>
        </w:rPr>
        <w:t>28 marca 2023</w:t>
      </w:r>
      <w:r w:rsidR="008838CC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A0F60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roku</w:t>
      </w:r>
    </w:p>
    <w:p w:rsidR="00841334" w:rsidRPr="00EC5F89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:rsidR="00F5772A" w:rsidRPr="006B4D6E" w:rsidRDefault="006B4D6E" w:rsidP="2689F725">
      <w:pPr>
        <w:spacing w:after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006B4D6E">
        <w:rPr>
          <w:b/>
          <w:bCs/>
          <w:i/>
          <w:iCs/>
          <w:sz w:val="24"/>
          <w:szCs w:val="24"/>
        </w:rPr>
        <w:t>przyjęcia metodyki stosowanej przy wyborze projektów w ramach działań FE SL 2021-2027 wdrażanych przez Wojewódzki Urząd Pracy w Katowicach</w:t>
      </w:r>
    </w:p>
    <w:p w:rsidR="00755761" w:rsidRDefault="00755761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:rsidR="00951860" w:rsidRPr="00066355" w:rsidRDefault="00951860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40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ust. 2 Rozporządze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nia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i Integracji, Funduszu Bezpieczeństwa Wewnętrznego i Instrumentu Wsparcia Finansowego na rzecz Zarządzania Granicami 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 Polityki Wizowej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;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19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ustawy z dnia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28 kwietnia 2022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r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.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o zasadach realizacji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zadań finansowanych ze środków europejskich w perspektywie finansowej 2021–2027</w:t>
      </w:r>
    </w:p>
    <w:p w:rsidR="00755761" w:rsidRDefault="00755761" w:rsidP="2689F725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</w:rPr>
      </w:pPr>
    </w:p>
    <w:p w:rsidR="00F5772A" w:rsidRPr="0037477A" w:rsidRDefault="00F5772A" w:rsidP="2689F725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1</w:t>
      </w:r>
    </w:p>
    <w:p w:rsidR="00E33044" w:rsidRPr="00755761" w:rsidRDefault="0037477A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Zatwierdza się </w:t>
      </w:r>
      <w:r w:rsidR="003A739D">
        <w:rPr>
          <w:rStyle w:val="Pogrubienie"/>
          <w:rFonts w:asciiTheme="minorHAnsi" w:eastAsiaTheme="minorEastAsia" w:hAnsiTheme="minorHAnsi" w:cstheme="minorBidi"/>
          <w:b w:val="0"/>
          <w:bCs w:val="0"/>
        </w:rPr>
        <w:t>metodykę stosowaną</w:t>
      </w:r>
      <w:r w:rsidR="001B160A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przy wyborze projektów w ramach działań FE SL 2021-2027 wdrażanych przez Wojewódzki Urząd Pracy w Katowicach.</w:t>
      </w:r>
      <w:r w:rsidR="003A6F40">
        <w:rPr>
          <w:rFonts w:asciiTheme="minorHAnsi" w:eastAsiaTheme="minorEastAsia" w:hAnsiTheme="minorHAnsi" w:cstheme="minorBidi"/>
        </w:rPr>
        <w:t>.</w:t>
      </w:r>
    </w:p>
    <w:p w:rsidR="000B6B8A" w:rsidRPr="00E33044" w:rsidRDefault="001B160A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>
        <w:rPr>
          <w:rFonts w:asciiTheme="minorHAnsi" w:eastAsiaTheme="minorEastAsia" w:hAnsiTheme="minorHAnsi" w:cstheme="minorBidi"/>
        </w:rPr>
        <w:t>Metodyka stanowi</w:t>
      </w:r>
      <w:r w:rsidR="002A3FA9" w:rsidRPr="2689F725">
        <w:rPr>
          <w:rFonts w:asciiTheme="minorHAnsi" w:eastAsiaTheme="minorEastAsia" w:hAnsiTheme="minorHAnsi" w:cstheme="minorBidi"/>
        </w:rPr>
        <w:t xml:space="preserve"> załącznik do niniejszej uchwały.   </w:t>
      </w:r>
    </w:p>
    <w:p w:rsidR="002A3FA9" w:rsidRDefault="00A6025E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   </w:t>
      </w:r>
    </w:p>
    <w:p w:rsidR="00755761" w:rsidRDefault="00755761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</w:p>
    <w:p w:rsidR="002F453A" w:rsidRPr="002F453A" w:rsidRDefault="0037477A" w:rsidP="2689F725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</w:t>
      </w:r>
      <w:r w:rsidR="00F5772A" w:rsidRPr="2689F725">
        <w:rPr>
          <w:rFonts w:asciiTheme="minorHAnsi" w:eastAsiaTheme="minorEastAsia" w:hAnsiTheme="minorHAnsi" w:cstheme="minorBidi"/>
          <w:b/>
          <w:bCs/>
        </w:rPr>
        <w:t>§ 2</w:t>
      </w:r>
    </w:p>
    <w:p w:rsidR="00CB4EC3" w:rsidRPr="007707E2" w:rsidRDefault="00F5772A" w:rsidP="2689F725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:rsidR="00294C9A" w:rsidRPr="007707E2" w:rsidRDefault="00294C9A" w:rsidP="00294C9A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:rsidR="00294C9A" w:rsidRDefault="00294C9A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:rsidR="00DD24B9" w:rsidRDefault="00DD24B9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294C9A" w:rsidRPr="00E2610C" w:rsidRDefault="00DD24B9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00294C9A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</w:p>
    <w:p w:rsidR="00F5772A" w:rsidRPr="00CB4EC3" w:rsidRDefault="00C546AF" w:rsidP="2689F725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F5772A" w:rsidRPr="00CB4EC3" w:rsidSect="002E54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0A1E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</w:p>
    <w:bookmarkEnd w:id="0"/>
    <w:p w:rsidR="005F70B7" w:rsidRPr="00631192" w:rsidRDefault="007B3B7F" w:rsidP="00631192">
      <w:pPr>
        <w:spacing w:line="360" w:lineRule="auto"/>
        <w:jc w:val="center"/>
        <w:rPr>
          <w:rFonts w:asciiTheme="minorHAnsi" w:hAnsiTheme="minorHAnsi"/>
          <w:b/>
        </w:rPr>
      </w:pPr>
      <w:r w:rsidRPr="00631192">
        <w:rPr>
          <w:rFonts w:asciiTheme="minorHAnsi" w:hAnsiTheme="minorHAnsi"/>
          <w:b/>
        </w:rPr>
        <w:lastRenderedPageBreak/>
        <w:t xml:space="preserve">Opis metodyki i </w:t>
      </w:r>
      <w:r w:rsidR="00157557" w:rsidRPr="00631192">
        <w:rPr>
          <w:rFonts w:asciiTheme="minorHAnsi" w:hAnsiTheme="minorHAnsi"/>
          <w:b/>
        </w:rPr>
        <w:t>rodzaje stosowanych kryteriów wyboru projektów w zakresie WUP Katowice – informacje ogólne</w:t>
      </w:r>
    </w:p>
    <w:p w:rsidR="00157557" w:rsidRPr="00631192" w:rsidRDefault="00157557" w:rsidP="00631192">
      <w:p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 xml:space="preserve">W ramach działań FE SL 2021-2027 wdrażanych przez Wojewódzki Urząd Pracy w Katowicach </w:t>
      </w:r>
      <w:r w:rsidR="00091971">
        <w:rPr>
          <w:rFonts w:asciiTheme="minorHAnsi" w:hAnsiTheme="minorHAnsi"/>
        </w:rPr>
        <w:t xml:space="preserve">– IP FE SL- WUP </w:t>
      </w:r>
      <w:r w:rsidRPr="00631192">
        <w:rPr>
          <w:rFonts w:asciiTheme="minorHAnsi" w:hAnsiTheme="minorHAnsi"/>
        </w:rPr>
        <w:t>stosowane będą następujące rodzaje kryteriów wyboru  projektów:</w:t>
      </w:r>
    </w:p>
    <w:p w:rsidR="00FE17F3" w:rsidRPr="00631192" w:rsidRDefault="00FE17F3" w:rsidP="00AE278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>Ogólne:</w:t>
      </w:r>
    </w:p>
    <w:p w:rsidR="00157557" w:rsidRPr="00631192" w:rsidRDefault="00157557" w:rsidP="00AE278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 xml:space="preserve"> </w:t>
      </w:r>
      <w:r w:rsidR="00FE17F3" w:rsidRPr="00631192">
        <w:rPr>
          <w:rFonts w:asciiTheme="minorHAnsi" w:hAnsiTheme="minorHAnsi"/>
        </w:rPr>
        <w:t>F</w:t>
      </w:r>
      <w:r w:rsidRPr="00631192">
        <w:rPr>
          <w:rFonts w:asciiTheme="minorHAnsi" w:hAnsiTheme="minorHAnsi"/>
        </w:rPr>
        <w:t>ormalne:</w:t>
      </w:r>
    </w:p>
    <w:p w:rsidR="00157557" w:rsidRPr="00631192" w:rsidRDefault="007F1464" w:rsidP="00AE2781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57557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157557" w:rsidRPr="00631192">
        <w:rPr>
          <w:rFonts w:asciiTheme="minorHAnsi" w:hAnsiTheme="minorHAnsi"/>
        </w:rPr>
        <w:t>jedynko</w:t>
      </w:r>
      <w:r>
        <w:rPr>
          <w:rFonts w:asciiTheme="minorHAnsi" w:hAnsiTheme="minorHAnsi"/>
        </w:rPr>
        <w:t>we niepodlegające uzupełnieniom i/lub</w:t>
      </w:r>
    </w:p>
    <w:p w:rsidR="00157557" w:rsidRPr="00631192" w:rsidRDefault="007F1464" w:rsidP="00AE2781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57557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157557" w:rsidRPr="00631192">
        <w:rPr>
          <w:rFonts w:asciiTheme="minorHAnsi" w:hAnsiTheme="minorHAnsi"/>
        </w:rPr>
        <w:t>jedynkowe podlegające uzupełnieniom.</w:t>
      </w:r>
    </w:p>
    <w:p w:rsidR="00157557" w:rsidRPr="00631192" w:rsidRDefault="00FE17F3" w:rsidP="00AE278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>M</w:t>
      </w:r>
      <w:r w:rsidR="00157557" w:rsidRPr="00631192">
        <w:rPr>
          <w:rFonts w:asciiTheme="minorHAnsi" w:hAnsiTheme="minorHAnsi"/>
        </w:rPr>
        <w:t>erytoryczne:</w:t>
      </w:r>
    </w:p>
    <w:p w:rsidR="00157557" w:rsidRPr="00631192" w:rsidRDefault="007F1464" w:rsidP="00AE2781">
      <w:pPr>
        <w:pStyle w:val="Akapitzlist"/>
        <w:numPr>
          <w:ilvl w:val="0"/>
          <w:numId w:val="4"/>
        </w:numPr>
        <w:spacing w:line="360" w:lineRule="auto"/>
        <w:ind w:left="1418" w:hanging="425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57557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157557" w:rsidRPr="00631192">
        <w:rPr>
          <w:rFonts w:asciiTheme="minorHAnsi" w:hAnsiTheme="minorHAnsi"/>
        </w:rPr>
        <w:t>jedynkowe</w:t>
      </w:r>
      <w:r>
        <w:rPr>
          <w:rFonts w:asciiTheme="minorHAnsi" w:hAnsiTheme="minorHAnsi"/>
        </w:rPr>
        <w:t xml:space="preserve"> niepodlegające uzupełnieniom i/lub</w:t>
      </w:r>
    </w:p>
    <w:p w:rsidR="00157557" w:rsidRPr="00631192" w:rsidRDefault="00077C5F" w:rsidP="00AE2781">
      <w:pPr>
        <w:pStyle w:val="Akapitzlist"/>
        <w:numPr>
          <w:ilvl w:val="0"/>
          <w:numId w:val="4"/>
        </w:numPr>
        <w:spacing w:line="360" w:lineRule="auto"/>
        <w:ind w:left="1418" w:hanging="425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57557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157557" w:rsidRPr="00631192">
        <w:rPr>
          <w:rFonts w:asciiTheme="minorHAnsi" w:hAnsiTheme="minorHAnsi"/>
        </w:rPr>
        <w:t>jedy</w:t>
      </w:r>
      <w:r w:rsidR="007F1464">
        <w:rPr>
          <w:rFonts w:asciiTheme="minorHAnsi" w:hAnsiTheme="minorHAnsi"/>
        </w:rPr>
        <w:t>nkowe podlegające uzupełnieniom i/lub</w:t>
      </w:r>
    </w:p>
    <w:p w:rsidR="00157557" w:rsidRPr="00631192" w:rsidRDefault="00157557" w:rsidP="00AE2781">
      <w:pPr>
        <w:pStyle w:val="Akapitzlist"/>
        <w:numPr>
          <w:ilvl w:val="0"/>
          <w:numId w:val="4"/>
        </w:numPr>
        <w:spacing w:line="360" w:lineRule="auto"/>
        <w:ind w:left="1418" w:hanging="425"/>
        <w:rPr>
          <w:rFonts w:asciiTheme="minorHAnsi" w:hAnsiTheme="minorHAnsi"/>
        </w:rPr>
      </w:pPr>
      <w:r w:rsidRPr="00631192">
        <w:rPr>
          <w:rFonts w:asciiTheme="minorHAnsi" w:hAnsiTheme="minorHAnsi"/>
        </w:rPr>
        <w:t xml:space="preserve">punktowe </w:t>
      </w:r>
      <w:r w:rsidR="00FE17F3" w:rsidRPr="00631192">
        <w:rPr>
          <w:rFonts w:asciiTheme="minorHAnsi" w:hAnsiTheme="minorHAnsi"/>
        </w:rPr>
        <w:t xml:space="preserve">– </w:t>
      </w:r>
      <w:r w:rsidR="004304FD" w:rsidRPr="00631192">
        <w:rPr>
          <w:rFonts w:asciiTheme="minorHAnsi" w:hAnsiTheme="minorHAnsi" w:cs="Arial"/>
        </w:rPr>
        <w:t>uzyskanie określonej liczby punktów za kryterium warunkuje otrzymanie dofinansowania</w:t>
      </w:r>
      <w:r w:rsidR="00FE17F3" w:rsidRPr="00631192">
        <w:rPr>
          <w:rFonts w:asciiTheme="minorHAnsi" w:hAnsiTheme="minorHAnsi"/>
        </w:rPr>
        <w:t>.</w:t>
      </w:r>
    </w:p>
    <w:p w:rsidR="00FE17F3" w:rsidRPr="00631192" w:rsidRDefault="00FE17F3" w:rsidP="00AE278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>Horyzontalne:</w:t>
      </w:r>
    </w:p>
    <w:p w:rsidR="00FE17F3" w:rsidRPr="00631192" w:rsidRDefault="007F1464" w:rsidP="00AE2781">
      <w:pPr>
        <w:pStyle w:val="Akapitzlist"/>
        <w:numPr>
          <w:ilvl w:val="0"/>
          <w:numId w:val="6"/>
        </w:num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E17F3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FE17F3" w:rsidRPr="00631192">
        <w:rPr>
          <w:rFonts w:asciiTheme="minorHAnsi" w:hAnsiTheme="minorHAnsi"/>
        </w:rPr>
        <w:t xml:space="preserve">jedynkowe podlegające uzupełnieniom. </w:t>
      </w:r>
    </w:p>
    <w:p w:rsidR="00FE17F3" w:rsidRPr="00631192" w:rsidRDefault="00FE17F3" w:rsidP="00AE278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>Szczegółowe</w:t>
      </w:r>
      <w:r w:rsidR="00357165" w:rsidRPr="00631192">
        <w:rPr>
          <w:rFonts w:asciiTheme="minorHAnsi" w:hAnsiTheme="minorHAnsi"/>
        </w:rPr>
        <w:t>:</w:t>
      </w:r>
    </w:p>
    <w:p w:rsidR="00357165" w:rsidRPr="00631192" w:rsidRDefault="00091971" w:rsidP="00AE278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Dostępu:</w:t>
      </w:r>
    </w:p>
    <w:p w:rsidR="00403891" w:rsidRPr="00631192" w:rsidRDefault="007F1464" w:rsidP="00AE2781">
      <w:pPr>
        <w:pStyle w:val="Akapitzlist"/>
        <w:numPr>
          <w:ilvl w:val="0"/>
          <w:numId w:val="10"/>
        </w:numPr>
        <w:spacing w:line="360" w:lineRule="auto"/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03891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403891" w:rsidRPr="00631192">
        <w:rPr>
          <w:rFonts w:asciiTheme="minorHAnsi" w:hAnsiTheme="minorHAnsi"/>
        </w:rPr>
        <w:t>jedynko</w:t>
      </w:r>
      <w:r>
        <w:rPr>
          <w:rFonts w:asciiTheme="minorHAnsi" w:hAnsiTheme="minorHAnsi"/>
        </w:rPr>
        <w:t>we niepodlegające uzupełnieniom i/lub</w:t>
      </w:r>
    </w:p>
    <w:p w:rsidR="00403891" w:rsidRPr="00631192" w:rsidRDefault="007F1464" w:rsidP="00AE2781">
      <w:pPr>
        <w:pStyle w:val="Akapitzlist"/>
        <w:numPr>
          <w:ilvl w:val="0"/>
          <w:numId w:val="10"/>
        </w:numPr>
        <w:spacing w:line="360" w:lineRule="auto"/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03891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403891" w:rsidRPr="00631192">
        <w:rPr>
          <w:rFonts w:asciiTheme="minorHAnsi" w:hAnsiTheme="minorHAnsi"/>
        </w:rPr>
        <w:t>jedynkowe podlegające uzupełnieniom.</w:t>
      </w:r>
    </w:p>
    <w:p w:rsidR="00357165" w:rsidRPr="00631192" w:rsidRDefault="00091971" w:rsidP="00AE278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Dodatkowe:</w:t>
      </w:r>
    </w:p>
    <w:p w:rsidR="00403891" w:rsidRPr="00631192" w:rsidRDefault="00403891" w:rsidP="00AE278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>punktowe</w:t>
      </w:r>
    </w:p>
    <w:p w:rsidR="00FE17F3" w:rsidRPr="00631192" w:rsidRDefault="004304FD" w:rsidP="00AE278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631192">
        <w:rPr>
          <w:rFonts w:asciiTheme="minorHAnsi" w:hAnsiTheme="minorHAnsi"/>
        </w:rPr>
        <w:t xml:space="preserve">Negocjacyjne </w:t>
      </w:r>
    </w:p>
    <w:p w:rsidR="00403891" w:rsidRPr="00631192" w:rsidRDefault="007F1464" w:rsidP="00AE278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</w:t>
      </w:r>
      <w:r w:rsidR="00403891" w:rsidRPr="00631192">
        <w:rPr>
          <w:rFonts w:asciiTheme="minorHAnsi" w:hAnsiTheme="minorHAnsi"/>
        </w:rPr>
        <w:t>ero</w:t>
      </w:r>
      <w:r w:rsidR="00091971">
        <w:rPr>
          <w:rFonts w:asciiTheme="minorHAnsi" w:hAnsiTheme="minorHAnsi"/>
        </w:rPr>
        <w:t>-</w:t>
      </w:r>
      <w:r w:rsidR="00403891" w:rsidRPr="00631192">
        <w:rPr>
          <w:rFonts w:asciiTheme="minorHAnsi" w:hAnsiTheme="minorHAnsi"/>
        </w:rPr>
        <w:t xml:space="preserve">jedynkowe </w:t>
      </w:r>
      <w:r w:rsidR="00091971">
        <w:rPr>
          <w:rFonts w:asciiTheme="minorHAnsi" w:hAnsiTheme="minorHAnsi"/>
        </w:rPr>
        <w:t>niepodlegające uzupełnieniom</w:t>
      </w:r>
      <w:r>
        <w:rPr>
          <w:rFonts w:asciiTheme="minorHAnsi" w:hAnsiTheme="minorHAnsi"/>
        </w:rPr>
        <w:t>.</w:t>
      </w:r>
    </w:p>
    <w:p w:rsidR="00091971" w:rsidRDefault="00091971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IP FE SL- WUP wybiera projekty do dofinansowania w sposób konkurencyjny albo niekonkurencyjny. </w:t>
      </w:r>
    </w:p>
    <w:p w:rsidR="007F1464" w:rsidRDefault="007F1464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</w:p>
    <w:p w:rsidR="00091971" w:rsidRDefault="00091971" w:rsidP="000129B2">
      <w:pPr>
        <w:pStyle w:val="Tekstpodstawowy"/>
        <w:spacing w:before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Przyjęte rozwiązanie determinuje wybór systematyki kryteriów. Z uwagi na brak elementu konkurowania projektów ze sobą, postępowania prowadzone </w:t>
      </w:r>
      <w:r w:rsidR="000129B2">
        <w:rPr>
          <w:rFonts w:asciiTheme="minorHAnsi" w:hAnsiTheme="minorHAnsi"/>
        </w:rPr>
        <w:br/>
      </w:r>
      <w:r>
        <w:rPr>
          <w:rFonts w:asciiTheme="minorHAnsi" w:hAnsiTheme="minorHAnsi"/>
        </w:rPr>
        <w:t>w sposób niekonkurencyjny nie przewidują zastosowania kryteriów punktowych merytorycznych, dodatkowych oraz kryterium negocjacyjnego.</w:t>
      </w:r>
    </w:p>
    <w:p w:rsidR="00091971" w:rsidRDefault="00091971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</w:p>
    <w:p w:rsidR="00091971" w:rsidRDefault="00091971" w:rsidP="000129B2">
      <w:pPr>
        <w:pStyle w:val="Tekstpodstawowy"/>
        <w:spacing w:before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IP FE SL- WUP ocenia projekty na podstawie kryteriów. Kryteria zatwierdza KM FE SL 2021-2027. K</w:t>
      </w:r>
      <w:r w:rsidRPr="00631192">
        <w:rPr>
          <w:rFonts w:asciiTheme="minorHAnsi" w:hAnsiTheme="minorHAnsi"/>
        </w:rPr>
        <w:t>ryteria służą weryfikacji zgodności</w:t>
      </w:r>
      <w:r w:rsidRPr="00631192">
        <w:rPr>
          <w:rFonts w:asciiTheme="minorHAnsi" w:hAnsiTheme="minorHAnsi"/>
          <w:spacing w:val="33"/>
        </w:rPr>
        <w:t xml:space="preserve"> </w:t>
      </w:r>
      <w:r w:rsidRPr="00F20F26">
        <w:rPr>
          <w:rFonts w:asciiTheme="minorHAnsi" w:hAnsiTheme="minorHAnsi"/>
          <w:spacing w:val="-2"/>
        </w:rPr>
        <w:t xml:space="preserve">zapisów </w:t>
      </w:r>
      <w:r w:rsidRPr="00631192">
        <w:rPr>
          <w:rFonts w:asciiTheme="minorHAnsi" w:hAnsiTheme="minorHAnsi"/>
        </w:rPr>
        <w:t>wniosku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br/>
      </w:r>
      <w:r w:rsidRPr="00F20F26">
        <w:rPr>
          <w:rFonts w:asciiTheme="minorHAnsi" w:hAnsiTheme="minorHAnsi"/>
          <w:spacing w:val="-2"/>
        </w:rPr>
        <w:t xml:space="preserve">o dofinansowanie </w:t>
      </w:r>
      <w:r w:rsidRPr="00631192">
        <w:rPr>
          <w:rFonts w:asciiTheme="minorHAnsi" w:hAnsiTheme="minorHAnsi"/>
        </w:rPr>
        <w:t>z zapisami</w:t>
      </w:r>
      <w:r w:rsidRPr="00631192">
        <w:rPr>
          <w:rFonts w:asciiTheme="minorHAnsi" w:hAnsiTheme="minorHAnsi"/>
          <w:spacing w:val="35"/>
        </w:rPr>
        <w:t xml:space="preserve"> </w:t>
      </w:r>
      <w:r w:rsidRPr="00631192">
        <w:rPr>
          <w:rFonts w:asciiTheme="minorHAnsi" w:hAnsiTheme="minorHAnsi"/>
        </w:rPr>
        <w:t>rozporządzeń</w:t>
      </w:r>
      <w:r w:rsidRPr="00631192">
        <w:rPr>
          <w:rFonts w:asciiTheme="minorHAnsi" w:hAnsiTheme="minorHAnsi"/>
          <w:spacing w:val="35"/>
        </w:rPr>
        <w:t xml:space="preserve"> </w:t>
      </w:r>
      <w:r w:rsidRPr="00631192">
        <w:rPr>
          <w:rFonts w:asciiTheme="minorHAnsi" w:hAnsiTheme="minorHAnsi"/>
        </w:rPr>
        <w:t>unijnych</w:t>
      </w:r>
      <w:r w:rsidRPr="00631192">
        <w:rPr>
          <w:rFonts w:asciiTheme="minorHAnsi" w:hAnsiTheme="minorHAnsi"/>
          <w:spacing w:val="34"/>
        </w:rPr>
        <w:t xml:space="preserve"> </w:t>
      </w:r>
      <w:r w:rsidRPr="00631192">
        <w:rPr>
          <w:rFonts w:asciiTheme="minorHAnsi" w:hAnsiTheme="minorHAnsi"/>
        </w:rPr>
        <w:t>oraz</w:t>
      </w:r>
      <w:r w:rsidRPr="00631192">
        <w:rPr>
          <w:rFonts w:asciiTheme="minorHAnsi" w:hAnsiTheme="minorHAnsi"/>
          <w:spacing w:val="34"/>
        </w:rPr>
        <w:t xml:space="preserve"> </w:t>
      </w:r>
      <w:r w:rsidRPr="00631192">
        <w:rPr>
          <w:rFonts w:asciiTheme="minorHAnsi" w:hAnsiTheme="minorHAnsi"/>
        </w:rPr>
        <w:t>krajowych, a także program</w:t>
      </w:r>
      <w:r>
        <w:rPr>
          <w:rFonts w:asciiTheme="minorHAnsi" w:hAnsiTheme="minorHAnsi"/>
        </w:rPr>
        <w:t>em FE SL 2021-2027</w:t>
      </w:r>
      <w:r w:rsidRPr="00631192">
        <w:rPr>
          <w:rFonts w:asciiTheme="minorHAnsi" w:hAnsiTheme="minorHAnsi"/>
        </w:rPr>
        <w:t>, Szczegółow</w:t>
      </w:r>
      <w:r>
        <w:rPr>
          <w:rFonts w:asciiTheme="minorHAnsi" w:hAnsiTheme="minorHAnsi"/>
        </w:rPr>
        <w:t>ym</w:t>
      </w:r>
      <w:r w:rsidRPr="00631192">
        <w:rPr>
          <w:rFonts w:asciiTheme="minorHAnsi" w:hAnsiTheme="minorHAnsi"/>
        </w:rPr>
        <w:t xml:space="preserve"> Opis</w:t>
      </w:r>
      <w:r>
        <w:rPr>
          <w:rFonts w:asciiTheme="minorHAnsi" w:hAnsiTheme="minorHAnsi"/>
        </w:rPr>
        <w:t>em</w:t>
      </w:r>
      <w:r w:rsidRPr="00631192">
        <w:rPr>
          <w:rFonts w:asciiTheme="minorHAnsi" w:hAnsiTheme="minorHAnsi"/>
        </w:rPr>
        <w:t xml:space="preserve"> Priorytetów programu </w:t>
      </w:r>
      <w:r>
        <w:rPr>
          <w:rFonts w:asciiTheme="minorHAnsi" w:hAnsiTheme="minorHAnsi"/>
        </w:rPr>
        <w:t xml:space="preserve">FE SL 2021-2027 </w:t>
      </w:r>
      <w:r w:rsidRPr="00631192">
        <w:rPr>
          <w:rFonts w:asciiTheme="minorHAnsi" w:hAnsiTheme="minorHAnsi"/>
        </w:rPr>
        <w:t>obowiązując</w:t>
      </w:r>
      <w:r>
        <w:rPr>
          <w:rFonts w:asciiTheme="minorHAnsi" w:hAnsiTheme="minorHAnsi"/>
        </w:rPr>
        <w:t>ym</w:t>
      </w:r>
      <w:r w:rsidRPr="00631192">
        <w:rPr>
          <w:rFonts w:asciiTheme="minorHAnsi" w:hAnsiTheme="minorHAnsi"/>
        </w:rPr>
        <w:t xml:space="preserve"> na moment zatwierdzenia Regulaminu wyboru projektów. Kryteria obowiązują </w:t>
      </w:r>
      <w:r>
        <w:rPr>
          <w:rFonts w:asciiTheme="minorHAnsi" w:hAnsiTheme="minorHAnsi"/>
        </w:rPr>
        <w:t>w</w:t>
      </w:r>
      <w:r w:rsidRPr="00631192">
        <w:rPr>
          <w:rFonts w:asciiTheme="minorHAnsi" w:hAnsiTheme="minorHAnsi"/>
        </w:rPr>
        <w:t>nioskodawcę do końca trwania projektu.</w:t>
      </w:r>
      <w:r w:rsidRPr="00631192">
        <w:rPr>
          <w:rFonts w:asciiTheme="minorHAnsi" w:hAnsiTheme="minorHAnsi"/>
          <w:spacing w:val="40"/>
        </w:rPr>
        <w:t xml:space="preserve"> </w:t>
      </w:r>
      <w:r w:rsidRPr="00631192">
        <w:rPr>
          <w:rFonts w:asciiTheme="minorHAnsi" w:hAnsiTheme="minorHAnsi"/>
        </w:rPr>
        <w:t xml:space="preserve">Oceny </w:t>
      </w:r>
      <w:r>
        <w:rPr>
          <w:rFonts w:asciiTheme="minorHAnsi" w:hAnsiTheme="minorHAnsi"/>
        </w:rPr>
        <w:t xml:space="preserve">wniosków </w:t>
      </w:r>
      <w:r w:rsidRPr="00631192">
        <w:rPr>
          <w:rFonts w:asciiTheme="minorHAnsi" w:hAnsiTheme="minorHAnsi"/>
        </w:rPr>
        <w:t>dokonują pracownicy</w:t>
      </w:r>
      <w:r>
        <w:rPr>
          <w:rFonts w:asciiTheme="minorHAnsi" w:hAnsiTheme="minorHAnsi"/>
        </w:rPr>
        <w:t xml:space="preserve"> </w:t>
      </w:r>
      <w:r w:rsidRPr="00631192">
        <w:rPr>
          <w:rFonts w:asciiTheme="minorHAnsi" w:hAnsiTheme="minorHAnsi"/>
        </w:rPr>
        <w:t>IP FE SL</w:t>
      </w:r>
      <w:r>
        <w:rPr>
          <w:rFonts w:asciiTheme="minorHAnsi" w:hAnsiTheme="minorHAnsi"/>
        </w:rPr>
        <w:t>-</w:t>
      </w:r>
      <w:r w:rsidRPr="00631192">
        <w:rPr>
          <w:rFonts w:asciiTheme="minorHAnsi" w:hAnsiTheme="minorHAnsi"/>
        </w:rPr>
        <w:t>WUP</w:t>
      </w:r>
      <w:r>
        <w:rPr>
          <w:rFonts w:asciiTheme="minorHAnsi" w:hAnsiTheme="minorHAnsi"/>
        </w:rPr>
        <w:t xml:space="preserve">/IZ </w:t>
      </w:r>
      <w:r w:rsidRPr="00091971">
        <w:rPr>
          <w:rFonts w:asciiTheme="minorHAnsi" w:hAnsiTheme="minorHAnsi"/>
        </w:rPr>
        <w:t>FE SL oraz mogą dokonywać również eksperci.</w:t>
      </w:r>
    </w:p>
    <w:p w:rsidR="00091971" w:rsidRPr="00631192" w:rsidRDefault="00091971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</w:p>
    <w:p w:rsidR="00091971" w:rsidRDefault="00091971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Procedura oceny projektów przewiduje przeprowadzenie etapu oceny formalno-merytorycznej oraz oddzielnego etapu negocjacji (jeśli dotyczy).</w:t>
      </w:r>
    </w:p>
    <w:p w:rsidR="000129B2" w:rsidRPr="00631192" w:rsidRDefault="000129B2" w:rsidP="00091971">
      <w:pPr>
        <w:pStyle w:val="Tekstpodstawowy"/>
        <w:spacing w:before="1" w:line="360" w:lineRule="auto"/>
        <w:jc w:val="both"/>
        <w:rPr>
          <w:rFonts w:asciiTheme="minorHAnsi" w:hAnsiTheme="minorHAnsi"/>
        </w:rPr>
      </w:pPr>
    </w:p>
    <w:p w:rsidR="00091971" w:rsidRPr="00631192" w:rsidRDefault="00091971" w:rsidP="000129B2">
      <w:pPr>
        <w:pStyle w:val="Tekstpodstawowy"/>
        <w:spacing w:before="1" w:line="360" w:lineRule="auto"/>
        <w:rPr>
          <w:rFonts w:asciiTheme="minorHAnsi" w:hAnsiTheme="minorHAnsi"/>
          <w:spacing w:val="-2"/>
        </w:rPr>
      </w:pPr>
      <w:r w:rsidRPr="00631192">
        <w:rPr>
          <w:rFonts w:asciiTheme="minorHAnsi" w:hAnsiTheme="minorHAnsi"/>
          <w:spacing w:val="-2"/>
        </w:rPr>
        <w:t>Ocena spełnienia kryteriów zero-jedynkow</w:t>
      </w:r>
      <w:r>
        <w:rPr>
          <w:rFonts w:asciiTheme="minorHAnsi" w:hAnsiTheme="minorHAnsi"/>
          <w:spacing w:val="-2"/>
        </w:rPr>
        <w:t>ych</w:t>
      </w:r>
      <w:r w:rsidRPr="00631192">
        <w:rPr>
          <w:rFonts w:asciiTheme="minorHAnsi" w:hAnsiTheme="minorHAnsi"/>
          <w:spacing w:val="-2"/>
        </w:rPr>
        <w:t xml:space="preserve"> niepodlegający</w:t>
      </w:r>
      <w:r>
        <w:rPr>
          <w:rFonts w:asciiTheme="minorHAnsi" w:hAnsiTheme="minorHAnsi"/>
          <w:spacing w:val="-2"/>
        </w:rPr>
        <w:t>ch</w:t>
      </w:r>
      <w:r w:rsidRPr="00631192">
        <w:rPr>
          <w:rFonts w:asciiTheme="minorHAnsi" w:hAnsiTheme="minorHAnsi"/>
          <w:spacing w:val="-2"/>
        </w:rPr>
        <w:t xml:space="preserve"> uzupełnieni</w:t>
      </w:r>
      <w:r>
        <w:rPr>
          <w:rFonts w:asciiTheme="minorHAnsi" w:hAnsiTheme="minorHAnsi"/>
          <w:spacing w:val="-2"/>
        </w:rPr>
        <w:t>om</w:t>
      </w:r>
      <w:r w:rsidRPr="00631192">
        <w:rPr>
          <w:rFonts w:asciiTheme="minorHAnsi" w:hAnsiTheme="minorHAnsi"/>
          <w:spacing w:val="-2"/>
        </w:rPr>
        <w:t xml:space="preserve"> polega na przypisaniu każdemu z kryteri</w:t>
      </w:r>
      <w:r>
        <w:rPr>
          <w:rFonts w:asciiTheme="minorHAnsi" w:hAnsiTheme="minorHAnsi"/>
          <w:spacing w:val="-2"/>
        </w:rPr>
        <w:t>ów</w:t>
      </w:r>
      <w:r w:rsidRPr="00631192">
        <w:rPr>
          <w:rFonts w:asciiTheme="minorHAnsi" w:hAnsiTheme="minorHAnsi"/>
          <w:spacing w:val="-2"/>
        </w:rPr>
        <w:t xml:space="preserve"> wartości logicznych TAK / NIE – zasada „0–1” (spełnia kryterium / nie spełnia kryterium) . Wszystkie kryteria są obligatoryjne do spełnienia. Niespełnienie przynajmniej jednego z kryteriów skutkuje negatywną oceną projektu.</w:t>
      </w:r>
    </w:p>
    <w:p w:rsidR="00091971" w:rsidRPr="00631192" w:rsidRDefault="00091971" w:rsidP="00091971">
      <w:pPr>
        <w:pStyle w:val="Tekstpodstawowy"/>
        <w:spacing w:before="1" w:line="360" w:lineRule="auto"/>
        <w:jc w:val="both"/>
        <w:rPr>
          <w:rFonts w:asciiTheme="minorHAnsi" w:hAnsiTheme="minorHAnsi"/>
          <w:spacing w:val="-2"/>
        </w:rPr>
      </w:pPr>
    </w:p>
    <w:p w:rsidR="00091971" w:rsidRPr="00631192" w:rsidRDefault="00091971" w:rsidP="000129B2">
      <w:pPr>
        <w:pStyle w:val="Tekstpodstawowy"/>
        <w:spacing w:before="1" w:line="360" w:lineRule="auto"/>
        <w:rPr>
          <w:rFonts w:asciiTheme="minorHAnsi" w:hAnsiTheme="minorHAnsi"/>
          <w:spacing w:val="-2"/>
        </w:rPr>
      </w:pPr>
      <w:r w:rsidRPr="00631192">
        <w:rPr>
          <w:rFonts w:asciiTheme="minorHAnsi" w:hAnsiTheme="minorHAnsi"/>
          <w:spacing w:val="-2"/>
        </w:rPr>
        <w:t>Ocena spełnienia kryteriów zero-jedynkowy</w:t>
      </w:r>
      <w:r>
        <w:rPr>
          <w:rFonts w:asciiTheme="minorHAnsi" w:hAnsiTheme="minorHAnsi"/>
          <w:spacing w:val="-2"/>
        </w:rPr>
        <w:t>ch</w:t>
      </w:r>
      <w:r w:rsidRPr="00631192">
        <w:rPr>
          <w:rFonts w:asciiTheme="minorHAnsi" w:hAnsiTheme="minorHAnsi"/>
          <w:spacing w:val="-2"/>
        </w:rPr>
        <w:t xml:space="preserve"> podlegający</w:t>
      </w:r>
      <w:r>
        <w:rPr>
          <w:rFonts w:asciiTheme="minorHAnsi" w:hAnsiTheme="minorHAnsi"/>
          <w:spacing w:val="-2"/>
        </w:rPr>
        <w:t>ch</w:t>
      </w:r>
      <w:r w:rsidRPr="00631192">
        <w:rPr>
          <w:rFonts w:asciiTheme="minorHAnsi" w:hAnsiTheme="minorHAnsi"/>
          <w:spacing w:val="-2"/>
        </w:rPr>
        <w:t xml:space="preserve"> uzupełnieni</w:t>
      </w:r>
      <w:r>
        <w:rPr>
          <w:rFonts w:asciiTheme="minorHAnsi" w:hAnsiTheme="minorHAnsi"/>
          <w:spacing w:val="-2"/>
        </w:rPr>
        <w:t>om</w:t>
      </w:r>
      <w:r w:rsidRPr="00631192">
        <w:rPr>
          <w:rFonts w:asciiTheme="minorHAnsi" w:hAnsiTheme="minorHAnsi"/>
          <w:spacing w:val="-2"/>
        </w:rPr>
        <w:t xml:space="preserve"> polega n</w:t>
      </w:r>
      <w:r>
        <w:rPr>
          <w:rFonts w:asciiTheme="minorHAnsi" w:hAnsiTheme="minorHAnsi"/>
          <w:spacing w:val="-2"/>
        </w:rPr>
        <w:t>a</w:t>
      </w:r>
      <w:r w:rsidRPr="00631192">
        <w:rPr>
          <w:rFonts w:asciiTheme="minorHAnsi" w:hAnsiTheme="minorHAnsi"/>
          <w:spacing w:val="-2"/>
        </w:rPr>
        <w:t xml:space="preserve"> przypisaniu każdemu z kryteri</w:t>
      </w:r>
      <w:r>
        <w:rPr>
          <w:rFonts w:asciiTheme="minorHAnsi" w:hAnsiTheme="minorHAnsi"/>
          <w:spacing w:val="-2"/>
        </w:rPr>
        <w:t>ów</w:t>
      </w:r>
      <w:r w:rsidRPr="00631192">
        <w:rPr>
          <w:rFonts w:asciiTheme="minorHAnsi" w:hAnsiTheme="minorHAnsi"/>
          <w:spacing w:val="-2"/>
        </w:rPr>
        <w:t xml:space="preserve"> wartości logicznych TAK / </w:t>
      </w:r>
      <w:r w:rsidRPr="00631192">
        <w:rPr>
          <w:rFonts w:asciiTheme="minorHAnsi" w:hAnsiTheme="minorHAnsi" w:cs="Arial"/>
        </w:rPr>
        <w:t>NIE–do uzupełnienia/ poprawy</w:t>
      </w:r>
      <w:r w:rsidRPr="00631192">
        <w:rPr>
          <w:rFonts w:asciiTheme="minorHAnsi" w:hAnsiTheme="minorHAnsi"/>
          <w:spacing w:val="-2"/>
        </w:rPr>
        <w:t xml:space="preserve"> /NIE – zasada „0-1” (spełnia kryterium / do uzupełnienia, poprawy / nie spełnia kryterium). Wszystkie kryteria są obligatoryjne do spełnienia. Niespełnienie przynajmniej jednego z kryteriów skutkuje negatywną oceną projektu.</w:t>
      </w:r>
    </w:p>
    <w:p w:rsidR="00091971" w:rsidRPr="00091971" w:rsidRDefault="00091971" w:rsidP="00091971">
      <w:pPr>
        <w:spacing w:line="360" w:lineRule="auto"/>
        <w:rPr>
          <w:rFonts w:asciiTheme="minorHAnsi" w:eastAsia="Times New Roman" w:hAnsiTheme="minorHAnsi" w:cs="Arial"/>
          <w:lang w:eastAsia="pl-PL"/>
        </w:rPr>
      </w:pPr>
      <w:r w:rsidRPr="00091971">
        <w:rPr>
          <w:rFonts w:asciiTheme="minorHAnsi" w:hAnsiTheme="minorHAnsi"/>
          <w:spacing w:val="-2"/>
        </w:rPr>
        <w:lastRenderedPageBreak/>
        <w:t>Kryteria horyzontalne stanowią zbiór</w:t>
      </w:r>
      <w:r w:rsidRPr="00091971">
        <w:rPr>
          <w:rFonts w:asciiTheme="minorHAnsi" w:eastAsia="Times New Roman" w:hAnsiTheme="minorHAnsi" w:cs="Arial"/>
          <w:lang w:eastAsia="pl-PL"/>
        </w:rPr>
        <w:t xml:space="preserve"> wspólnych kryteriów dla oceny wszystkich projektów w programie w zakresie działań wdrażanych przez IP FE SL-WUP. </w:t>
      </w:r>
    </w:p>
    <w:p w:rsidR="00091971" w:rsidRPr="00091971" w:rsidRDefault="00091971" w:rsidP="00091971">
      <w:pPr>
        <w:spacing w:before="200" w:line="360" w:lineRule="auto"/>
        <w:rPr>
          <w:rFonts w:asciiTheme="minorHAnsi" w:eastAsia="Times New Roman" w:hAnsiTheme="minorHAnsi" w:cs="Arial"/>
          <w:color w:val="000000"/>
          <w:lang w:eastAsia="pl-PL"/>
        </w:rPr>
      </w:pPr>
      <w:r w:rsidRPr="00091971">
        <w:rPr>
          <w:rFonts w:asciiTheme="minorHAnsi" w:eastAsia="Times New Roman" w:hAnsiTheme="minorHAnsi" w:cs="Arial"/>
          <w:color w:val="000000"/>
          <w:lang w:eastAsia="pl-PL"/>
        </w:rPr>
        <w:t>Punkty za kryteria szczegółowe dodatkowe mogą zostać przyznane jeżeli projekt za spełnienie wszystkich ogólnych kryteriów formalnych/ merytorycznych/ horyzontalnych oraz szczegółowych kryteriów dostępu został oceniony pozytywnie/został skierowany do uzupełnienia/ poprawy w ramach negocjacji. Projekt oceniony negatywnie nie otrzymuje punktów dodatkowych.</w:t>
      </w:r>
    </w:p>
    <w:p w:rsidR="00091971" w:rsidRPr="00091971" w:rsidRDefault="00091971" w:rsidP="00091971">
      <w:pPr>
        <w:spacing w:line="360" w:lineRule="auto"/>
        <w:rPr>
          <w:rFonts w:asciiTheme="minorHAnsi" w:hAnsiTheme="minorHAnsi"/>
          <w:spacing w:val="-2"/>
        </w:rPr>
      </w:pPr>
      <w:r w:rsidRPr="00091971">
        <w:rPr>
          <w:rFonts w:asciiTheme="minorHAnsi" w:hAnsiTheme="minorHAnsi"/>
          <w:spacing w:val="-2"/>
        </w:rPr>
        <w:t>Warunkiem zakwalifikowania projektu do etapu negocjacji jest spełnienie przez projekt kryteriów ocenianych na etapie oceny formalno-merytorycznej/</w:t>
      </w:r>
      <w:r w:rsidR="000129B2">
        <w:rPr>
          <w:rFonts w:asciiTheme="minorHAnsi" w:hAnsiTheme="minorHAnsi"/>
          <w:spacing w:val="-2"/>
        </w:rPr>
        <w:t xml:space="preserve"> </w:t>
      </w:r>
      <w:r w:rsidRPr="00091971">
        <w:rPr>
          <w:rFonts w:asciiTheme="minorHAnsi" w:hAnsiTheme="minorHAnsi"/>
          <w:spacing w:val="-2"/>
        </w:rPr>
        <w:t xml:space="preserve">skierowanie projektu do poprawy lub uzupełnienia w części dotyczącej spełnienia kryteriów na etapie oceny formalno-merytorycznej, w których przewidziano taką możliwość. </w:t>
      </w:r>
    </w:p>
    <w:p w:rsidR="00091971" w:rsidRPr="00091971" w:rsidRDefault="00091971" w:rsidP="00091971">
      <w:pPr>
        <w:spacing w:line="360" w:lineRule="auto"/>
        <w:rPr>
          <w:rFonts w:asciiTheme="minorHAnsi" w:hAnsiTheme="minorHAnsi"/>
        </w:rPr>
      </w:pPr>
      <w:r w:rsidRPr="00091971">
        <w:rPr>
          <w:rFonts w:asciiTheme="minorHAnsi" w:hAnsiTheme="minorHAnsi"/>
          <w:spacing w:val="-2"/>
        </w:rPr>
        <w:t xml:space="preserve">Niespełnienie kryterium negocjacyjnego skutkuje przyznaniem oceny negatywnej. </w:t>
      </w:r>
      <w:r w:rsidRPr="00091971">
        <w:rPr>
          <w:rFonts w:asciiTheme="minorHAnsi" w:eastAsia="Times New Roman" w:hAnsiTheme="minorHAnsi" w:cs="Arial"/>
        </w:rPr>
        <w:t>Dotyczy projektów, które zostały skierowane do negocjacji.</w:t>
      </w:r>
    </w:p>
    <w:p w:rsidR="00091971" w:rsidRPr="00091971" w:rsidRDefault="00091971" w:rsidP="00091971">
      <w:pPr>
        <w:spacing w:after="120" w:line="360" w:lineRule="auto"/>
        <w:rPr>
          <w:rFonts w:asciiTheme="minorHAnsi" w:hAnsiTheme="minorHAnsi"/>
        </w:rPr>
      </w:pPr>
      <w:r w:rsidRPr="00091971">
        <w:rPr>
          <w:rFonts w:asciiTheme="minorHAnsi" w:hAnsiTheme="minorHAnsi" w:cstheme="minorHAnsi"/>
        </w:rPr>
        <w:t xml:space="preserve">Ocena zostanie przeprowadzana w oparciu o zapisy wniosku o dofinansowanie, dokumenty do niego załączone, </w:t>
      </w:r>
      <w:r w:rsidRPr="00091971">
        <w:rPr>
          <w:rFonts w:asciiTheme="minorHAnsi" w:hAnsiTheme="minorHAnsi"/>
        </w:rPr>
        <w:t>aktualny stan wiedzy/stan techniki oraz dokumenty, na które powołują się kryteria.</w:t>
      </w:r>
    </w:p>
    <w:p w:rsidR="00091971" w:rsidRPr="00091971" w:rsidRDefault="00091971" w:rsidP="00091971">
      <w:pPr>
        <w:spacing w:after="120" w:line="360" w:lineRule="auto"/>
        <w:rPr>
          <w:rFonts w:asciiTheme="minorHAnsi" w:hAnsiTheme="minorHAnsi"/>
        </w:rPr>
      </w:pPr>
      <w:r w:rsidRPr="00091971">
        <w:rPr>
          <w:rFonts w:asciiTheme="minorHAnsi" w:hAnsiTheme="minorHAnsi"/>
        </w:rPr>
        <w:t>Wynik</w:t>
      </w:r>
      <w:r w:rsidRPr="00091971">
        <w:rPr>
          <w:rFonts w:asciiTheme="minorHAnsi" w:hAnsiTheme="minorHAnsi"/>
          <w:spacing w:val="-8"/>
        </w:rPr>
        <w:t xml:space="preserve"> </w:t>
      </w:r>
      <w:r w:rsidRPr="00091971">
        <w:rPr>
          <w:rFonts w:asciiTheme="minorHAnsi" w:hAnsiTheme="minorHAnsi"/>
        </w:rPr>
        <w:t>oceny</w:t>
      </w:r>
      <w:r w:rsidRPr="00091971">
        <w:rPr>
          <w:rFonts w:asciiTheme="minorHAnsi" w:hAnsiTheme="minorHAnsi"/>
          <w:spacing w:val="-4"/>
        </w:rPr>
        <w:t xml:space="preserve"> </w:t>
      </w:r>
      <w:r w:rsidRPr="00091971">
        <w:rPr>
          <w:rFonts w:asciiTheme="minorHAnsi" w:hAnsiTheme="minorHAnsi"/>
        </w:rPr>
        <w:t>spełnienia</w:t>
      </w:r>
      <w:r w:rsidRPr="00091971">
        <w:rPr>
          <w:rFonts w:asciiTheme="minorHAnsi" w:hAnsiTheme="minorHAnsi"/>
          <w:spacing w:val="-6"/>
        </w:rPr>
        <w:t xml:space="preserve"> </w:t>
      </w:r>
      <w:r w:rsidRPr="00091971">
        <w:rPr>
          <w:rFonts w:asciiTheme="minorHAnsi" w:hAnsiTheme="minorHAnsi"/>
        </w:rPr>
        <w:t>kryteriów</w:t>
      </w:r>
      <w:r w:rsidRPr="00091971">
        <w:rPr>
          <w:rFonts w:asciiTheme="minorHAnsi" w:hAnsiTheme="minorHAnsi"/>
          <w:spacing w:val="-4"/>
        </w:rPr>
        <w:t xml:space="preserve"> </w:t>
      </w:r>
      <w:r w:rsidRPr="00091971">
        <w:rPr>
          <w:rFonts w:asciiTheme="minorHAnsi" w:hAnsiTheme="minorHAnsi"/>
        </w:rPr>
        <w:t>zamieszczany</w:t>
      </w:r>
      <w:r w:rsidRPr="00091971">
        <w:rPr>
          <w:rFonts w:asciiTheme="minorHAnsi" w:hAnsiTheme="minorHAnsi"/>
          <w:spacing w:val="-4"/>
        </w:rPr>
        <w:t xml:space="preserve"> </w:t>
      </w:r>
      <w:r w:rsidRPr="00091971">
        <w:rPr>
          <w:rFonts w:asciiTheme="minorHAnsi" w:hAnsiTheme="minorHAnsi"/>
        </w:rPr>
        <w:t>jest</w:t>
      </w:r>
      <w:r w:rsidRPr="00091971">
        <w:rPr>
          <w:rFonts w:asciiTheme="minorHAnsi" w:hAnsiTheme="minorHAnsi"/>
          <w:spacing w:val="-4"/>
        </w:rPr>
        <w:t xml:space="preserve"> </w:t>
      </w:r>
      <w:r w:rsidRPr="00091971">
        <w:rPr>
          <w:rFonts w:asciiTheme="minorHAnsi" w:hAnsiTheme="minorHAnsi"/>
        </w:rPr>
        <w:t>w</w:t>
      </w:r>
      <w:r w:rsidRPr="00091971">
        <w:rPr>
          <w:rFonts w:asciiTheme="minorHAnsi" w:hAnsiTheme="minorHAnsi"/>
          <w:spacing w:val="-2"/>
        </w:rPr>
        <w:t xml:space="preserve"> </w:t>
      </w:r>
      <w:r w:rsidRPr="00091971">
        <w:rPr>
          <w:rFonts w:asciiTheme="minorHAnsi" w:hAnsiTheme="minorHAnsi"/>
        </w:rPr>
        <w:t>karcie</w:t>
      </w:r>
      <w:r w:rsidRPr="00091971">
        <w:rPr>
          <w:rFonts w:asciiTheme="minorHAnsi" w:hAnsiTheme="minorHAnsi"/>
          <w:spacing w:val="-6"/>
        </w:rPr>
        <w:t xml:space="preserve"> </w:t>
      </w:r>
      <w:r w:rsidRPr="00091971">
        <w:rPr>
          <w:rFonts w:asciiTheme="minorHAnsi" w:hAnsiTheme="minorHAnsi"/>
        </w:rPr>
        <w:t>oceny</w:t>
      </w:r>
      <w:r w:rsidRPr="00091971">
        <w:rPr>
          <w:rFonts w:asciiTheme="minorHAnsi" w:hAnsiTheme="minorHAnsi"/>
          <w:spacing w:val="-2"/>
        </w:rPr>
        <w:t>.</w:t>
      </w:r>
      <w:r w:rsidRPr="00091971">
        <w:rPr>
          <w:rFonts w:asciiTheme="minorHAnsi" w:hAnsiTheme="minorHAnsi"/>
        </w:rPr>
        <w:t xml:space="preserve"> </w:t>
      </w:r>
    </w:p>
    <w:p w:rsidR="00091971" w:rsidRDefault="00091971" w:rsidP="000129B2">
      <w:pPr>
        <w:pStyle w:val="Tekstpodstawowy"/>
        <w:spacing w:before="1"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 przypadku zastosowania kryteriów punktowych, l</w:t>
      </w:r>
      <w:r w:rsidRPr="00631192">
        <w:rPr>
          <w:rFonts w:asciiTheme="minorHAnsi" w:eastAsia="Times New Roman" w:hAnsiTheme="minorHAnsi" w:cs="Arial"/>
          <w:lang w:eastAsia="pl-PL"/>
        </w:rPr>
        <w:t xml:space="preserve">iczba </w:t>
      </w:r>
      <w:r>
        <w:rPr>
          <w:rFonts w:asciiTheme="minorHAnsi" w:eastAsia="Times New Roman" w:hAnsiTheme="minorHAnsi" w:cs="Arial"/>
          <w:lang w:eastAsia="pl-PL"/>
        </w:rPr>
        <w:t>uzyskanych</w:t>
      </w:r>
      <w:r w:rsidRPr="00631192">
        <w:rPr>
          <w:rFonts w:asciiTheme="minorHAnsi" w:eastAsia="Times New Roman" w:hAnsiTheme="minorHAnsi" w:cs="Arial"/>
          <w:lang w:eastAsia="pl-PL"/>
        </w:rPr>
        <w:t xml:space="preserve"> punktów decyduje o </w:t>
      </w:r>
      <w:r>
        <w:rPr>
          <w:rFonts w:asciiTheme="minorHAnsi" w:eastAsia="Times New Roman" w:hAnsiTheme="minorHAnsi" w:cs="Arial"/>
          <w:lang w:eastAsia="pl-PL"/>
        </w:rPr>
        <w:t xml:space="preserve">wyniku oceny projektu. </w:t>
      </w:r>
      <w:r w:rsidRPr="00631192">
        <w:rPr>
          <w:rFonts w:asciiTheme="minorHAnsi" w:eastAsia="Times New Roman" w:hAnsiTheme="minorHAnsi" w:cs="Arial"/>
          <w:lang w:eastAsia="pl-PL"/>
        </w:rPr>
        <w:t>W przypadku uzy</w:t>
      </w:r>
      <w:r>
        <w:rPr>
          <w:rFonts w:asciiTheme="minorHAnsi" w:eastAsia="Times New Roman" w:hAnsiTheme="minorHAnsi" w:cs="Arial"/>
          <w:lang w:eastAsia="pl-PL"/>
        </w:rPr>
        <w:t xml:space="preserve">skania takiej samej punktacji, </w:t>
      </w:r>
      <w:r w:rsidRPr="00631192">
        <w:rPr>
          <w:rFonts w:asciiTheme="minorHAnsi" w:eastAsia="Times New Roman" w:hAnsiTheme="minorHAnsi" w:cs="Arial"/>
          <w:lang w:eastAsia="pl-PL"/>
        </w:rPr>
        <w:t>decydują kryteria rozstrzygające.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091971" w:rsidRDefault="00091971" w:rsidP="000129B2">
      <w:pPr>
        <w:pStyle w:val="Tekstpodstawowy"/>
        <w:spacing w:before="1" w:line="360" w:lineRule="auto"/>
        <w:rPr>
          <w:rFonts w:asciiTheme="minorHAnsi" w:eastAsia="Times New Roman" w:hAnsiTheme="minorHAnsi" w:cs="Arial"/>
          <w:lang w:eastAsia="pl-PL"/>
        </w:rPr>
      </w:pPr>
      <w:r w:rsidRPr="00631192">
        <w:rPr>
          <w:rFonts w:asciiTheme="minorHAnsi" w:eastAsia="Times New Roman" w:hAnsiTheme="minorHAnsi" w:cs="Arial"/>
          <w:lang w:eastAsia="pl-PL"/>
        </w:rPr>
        <w:t xml:space="preserve">Minimalna liczba punktów wymagana do rekomendowania projektu do wsparcia oraz kolejność kryteriów rozstrzygających jest określana każdorazowo </w:t>
      </w:r>
      <w:r>
        <w:rPr>
          <w:rFonts w:asciiTheme="minorHAnsi" w:eastAsia="Times New Roman" w:hAnsiTheme="minorHAnsi" w:cs="Arial"/>
          <w:lang w:eastAsia="pl-PL"/>
        </w:rPr>
        <w:t>w treści samych kryteriów oraz r</w:t>
      </w:r>
      <w:r w:rsidRPr="00631192">
        <w:rPr>
          <w:rFonts w:asciiTheme="minorHAnsi" w:eastAsia="Times New Roman" w:hAnsiTheme="minorHAnsi" w:cs="Arial"/>
          <w:lang w:eastAsia="pl-PL"/>
        </w:rPr>
        <w:t>egulaminie wyboru</w:t>
      </w:r>
      <w:r>
        <w:rPr>
          <w:rFonts w:asciiTheme="minorHAnsi" w:eastAsia="Times New Roman" w:hAnsiTheme="minorHAnsi" w:cs="Arial"/>
          <w:lang w:eastAsia="pl-PL"/>
        </w:rPr>
        <w:t xml:space="preserve"> projektów</w:t>
      </w:r>
      <w:r w:rsidRPr="00631192">
        <w:rPr>
          <w:rFonts w:asciiTheme="minorHAnsi" w:eastAsia="Times New Roman" w:hAnsiTheme="minorHAnsi" w:cs="Arial"/>
          <w:lang w:eastAsia="pl-PL"/>
        </w:rPr>
        <w:t>.</w:t>
      </w:r>
    </w:p>
    <w:p w:rsidR="00631192" w:rsidRPr="00631192" w:rsidRDefault="00631192" w:rsidP="0063119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29B2" w:rsidRDefault="000129B2" w:rsidP="00631192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</w:p>
    <w:p w:rsidR="000129B2" w:rsidRDefault="000129B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631192" w:rsidRPr="00631192" w:rsidRDefault="00631192" w:rsidP="00631192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631192">
        <w:rPr>
          <w:rFonts w:ascii="Arial" w:hAnsi="Arial" w:cs="Arial"/>
          <w:b/>
          <w:sz w:val="21"/>
          <w:szCs w:val="21"/>
        </w:rPr>
        <w:lastRenderedPageBreak/>
        <w:t>Kryteria horyzontalne dla działań FE SL 21-27 wdrażanych przez Wojewódzki Urząd Pracy w Katowicach.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636"/>
      </w:tblGrid>
      <w:tr w:rsidR="000129B2" w:rsidRPr="00AC35DB" w:rsidTr="00D75FF8">
        <w:trPr>
          <w:tblHeader/>
        </w:trPr>
        <w:tc>
          <w:tcPr>
            <w:tcW w:w="14218" w:type="dxa"/>
            <w:gridSpan w:val="6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Kryteria ogólne horyzontalne</w:t>
            </w:r>
          </w:p>
        </w:tc>
      </w:tr>
      <w:tr w:rsidR="000129B2" w:rsidRPr="00AC35DB" w:rsidTr="00D75FF8">
        <w:trPr>
          <w:tblHeader/>
        </w:trPr>
        <w:tc>
          <w:tcPr>
            <w:tcW w:w="675" w:type="dxa"/>
            <w:shd w:val="clear" w:color="auto" w:fill="BFBFBF"/>
          </w:tcPr>
          <w:p w:rsidR="000129B2" w:rsidRPr="00AC35DB" w:rsidRDefault="000129B2" w:rsidP="00D75FF8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BFBFBF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0129B2" w:rsidRPr="00AC35DB" w:rsidTr="00D75FF8">
        <w:tc>
          <w:tcPr>
            <w:tcW w:w="675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będzie miał pozytywny wpływ na realizację zasady równości szans i niedyskryminacji, w tym dostępności dla osób z niepełnosprawnościami</w:t>
            </w:r>
          </w:p>
        </w:tc>
        <w:tc>
          <w:tcPr>
            <w:tcW w:w="5245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z niepełnosprawnościami należy rozumieć zapewnienie wsparcia bez jakiekolwiek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</w:t>
            </w:r>
            <w:r w:rsidRPr="00470CD9">
              <w:rPr>
                <w:rFonts w:ascii="Arial" w:hAnsi="Arial" w:cs="Arial"/>
              </w:rPr>
              <w:lastRenderedPageBreak/>
              <w:t>załącznik do Wytycznych dotyczących realizacji zasad równościowych w ramach funduszy unijnych na lata 2021-2027.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Przy konstrukcji założeń projektu należy uwzględnić uniwersalne projektowanie  (np. poprzez standardy dostępności) lub, jeśli to niemożliwe – racjonalne usprawnienie (oba zdefiniowanie w ww. Wytycznych).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</w:t>
            </w:r>
            <w:r w:rsidRPr="00470CD9">
              <w:rPr>
                <w:rFonts w:ascii="Arial" w:hAnsi="Arial" w:cs="Arial"/>
              </w:rPr>
              <w:lastRenderedPageBreak/>
              <w:t>wymagań w tym zakresie, które zostaną wskazane przez ION w regulaminie naboru.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Kryterium zostanie zweryfikowane na podstawie zapisów we wniosku o dofinansowanie projektu, zwłaszcza zapisów z części dot. realizacji zasad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horyzontalnych.</w:t>
            </w:r>
          </w:p>
        </w:tc>
        <w:tc>
          <w:tcPr>
            <w:tcW w:w="212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</w:t>
            </w:r>
            <w:r w:rsidRPr="00AC35DB">
              <w:rPr>
                <w:rFonts w:ascii="Arial" w:hAnsi="Arial" w:cs="Arial"/>
              </w:rPr>
              <w:lastRenderedPageBreak/>
              <w:t>zakresie koniecznym do oceny spełnienia kryterium.</w:t>
            </w:r>
          </w:p>
        </w:tc>
        <w:tc>
          <w:tcPr>
            <w:tcW w:w="1984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0129B2" w:rsidRPr="00AC35DB" w:rsidTr="00D75FF8">
        <w:tc>
          <w:tcPr>
            <w:tcW w:w="675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52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jest zgodny ze standardem minimum realizacji zasady równości kobiet </w:t>
            </w:r>
            <w:r w:rsidRPr="00470CD9">
              <w:rPr>
                <w:rFonts w:ascii="Arial" w:hAnsi="Arial" w:cs="Arial"/>
              </w:rPr>
              <w:br/>
              <w:t>i mężczyzn.</w:t>
            </w:r>
          </w:p>
        </w:tc>
        <w:tc>
          <w:tcPr>
            <w:tcW w:w="5245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z zastosowaniem wag punktowych 0 – 1 – 2. Standard minimum składa się z 5 podstawowych kryteriów oceny, dotyczących charakterystyki projektu. Maksymalna liczba punktów do uzyskania wynosi 5. Brak uzyskania co najmniej 3 punktów w standardzie minimum jest równoznaczny z </w:t>
            </w:r>
            <w:r w:rsidRPr="00470CD9">
              <w:rPr>
                <w:rFonts w:ascii="Arial" w:hAnsi="Arial" w:cs="Arial"/>
              </w:rPr>
              <w:lastRenderedPageBreak/>
              <w:t>odrzuceniem wniosku bądź skierowaniem go do negocjacji lub uzupełnienia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</w:t>
            </w:r>
            <w:r w:rsidRPr="00AC35DB">
              <w:rPr>
                <w:rFonts w:ascii="Arial" w:hAnsi="Arial" w:cs="Arial"/>
              </w:rPr>
              <w:lastRenderedPageBreak/>
              <w:t>zakresie koniecznym do oceny spełnienia kryterium.</w:t>
            </w:r>
          </w:p>
        </w:tc>
        <w:tc>
          <w:tcPr>
            <w:tcW w:w="1984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0129B2" w:rsidRPr="00AC35DB" w:rsidTr="00D75FF8">
        <w:tc>
          <w:tcPr>
            <w:tcW w:w="675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0129B2" w:rsidRPr="00470CD9" w:rsidRDefault="000129B2" w:rsidP="00D75FF8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z Kartą Praw Podstawowych Unii Europejskiej z dnia 26 października 2012 r. (Dz. Urz. UE C 326 z 26.10.2012, str. 391),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zakresie odnoszącym się do sposobu realizacji, zakresu projektu i wnioskodawcy.    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0129B2" w:rsidRPr="00470CD9" w:rsidRDefault="000129B2" w:rsidP="00D75FF8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0129B2" w:rsidRPr="00470CD9" w:rsidRDefault="000129B2" w:rsidP="00D75FF8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0129B2" w:rsidRPr="00470CD9" w:rsidRDefault="000129B2" w:rsidP="00D75FF8">
            <w:pPr>
              <w:spacing w:line="360" w:lineRule="auto"/>
            </w:pPr>
            <w:r w:rsidRPr="00470CD9">
              <w:rPr>
                <w:rStyle w:val="eop"/>
                <w:rFonts w:ascii="Arial" w:hAnsi="Arial" w:cs="Arial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 </w:t>
            </w:r>
          </w:p>
        </w:tc>
        <w:tc>
          <w:tcPr>
            <w:tcW w:w="212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niezbędne do przyznania </w:t>
            </w:r>
            <w:r w:rsidRPr="00AC35DB">
              <w:rPr>
                <w:rFonts w:ascii="Arial" w:hAnsi="Arial" w:cs="Arial"/>
              </w:rPr>
              <w:lastRenderedPageBreak/>
              <w:t>dofinansowania.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wartości </w:t>
            </w:r>
            <w:r w:rsidRPr="00AC35DB">
              <w:rPr>
                <w:rFonts w:ascii="Arial" w:hAnsi="Arial" w:cs="Arial"/>
              </w:rPr>
              <w:lastRenderedPageBreak/>
              <w:t>logicznych: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uzupełnienia/ poprawy”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3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0129B2" w:rsidRPr="00AC35DB" w:rsidTr="00D75FF8">
        <w:tc>
          <w:tcPr>
            <w:tcW w:w="675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2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z Konwencją o Prawach Osób Niepełnosprawnych,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 xml:space="preserve">sporządzoną 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>. zm.), w zakresie odnoszącym się do sposobu realizacji, zakresu projektu i wnioskodawcy.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0129B2" w:rsidRPr="00470CD9" w:rsidRDefault="000129B2" w:rsidP="00D75FF8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Zgodność projektu z Konwencją o Prawach Osób Niepełnosprawnych, na etapie oceny wniosku należy rozumieć jako brak sprzeczności pomiędzy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zapisami projektu a wymogami tego dokumentu.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</w:t>
            </w:r>
            <w:r w:rsidRPr="00AC35DB">
              <w:rPr>
                <w:rFonts w:ascii="Arial" w:hAnsi="Arial" w:cs="Arial"/>
              </w:rPr>
              <w:lastRenderedPageBreak/>
              <w:t>kryterium jest niezbędne do przyznania dofinansowania.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</w:t>
            </w:r>
            <w:r w:rsidRPr="00AC35DB">
              <w:rPr>
                <w:rFonts w:ascii="Arial" w:hAnsi="Arial" w:cs="Arial"/>
              </w:rPr>
              <w:lastRenderedPageBreak/>
              <w:t>polegała na przyznaniu wartości logicznych: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0129B2" w:rsidRPr="00AC35DB" w:rsidTr="00D75FF8">
        <w:tc>
          <w:tcPr>
            <w:tcW w:w="675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0129B2" w:rsidRPr="00470CD9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z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zasadą zrównoważonego rozwoju.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0129B2" w:rsidRPr="00470CD9" w:rsidRDefault="000129B2" w:rsidP="00D75FF8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Zgodność projektu oznacza, iż że stosownie do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się odbywał w ww. sposób – z ograniczeniem zużycia papieru, zdalną formą 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129B2" w:rsidRPr="00470CD9" w:rsidRDefault="000129B2" w:rsidP="00D75FF8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obligatoryjne – spełnienie kryterium jest niezbędne do przyznania dofinansowania.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oceny spełnienia </w:t>
            </w:r>
            <w:r w:rsidRPr="00AC35DB">
              <w:rPr>
                <w:rFonts w:ascii="Arial" w:hAnsi="Arial" w:cs="Arial"/>
              </w:rPr>
              <w:lastRenderedPageBreak/>
              <w:t>kryterium.</w:t>
            </w:r>
          </w:p>
        </w:tc>
        <w:tc>
          <w:tcPr>
            <w:tcW w:w="1984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Kryterium </w:t>
            </w:r>
            <w:r w:rsidRPr="00AC35DB">
              <w:rPr>
                <w:rFonts w:ascii="Arial" w:hAnsi="Arial" w:cs="Arial"/>
              </w:rPr>
              <w:lastRenderedPageBreak/>
              <w:t>zerojedynkowe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0129B2" w:rsidRPr="00AC35DB" w:rsidRDefault="000129B2" w:rsidP="00D75FF8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4304FD" w:rsidRPr="004304FD" w:rsidRDefault="004304FD" w:rsidP="004304FD">
      <w:pPr>
        <w:rPr>
          <w:szCs w:val="18"/>
        </w:rPr>
      </w:pPr>
    </w:p>
    <w:p w:rsidR="00FE17F3" w:rsidRPr="00FE17F3" w:rsidRDefault="00FE17F3" w:rsidP="00FE17F3">
      <w:pPr>
        <w:rPr>
          <w:szCs w:val="18"/>
        </w:rPr>
      </w:pPr>
    </w:p>
    <w:sectPr w:rsidR="00FE17F3" w:rsidRPr="00FE17F3" w:rsidSect="003A6F40"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7C" w:rsidRDefault="00B47C7C" w:rsidP="009029B5">
      <w:pPr>
        <w:spacing w:after="0" w:line="240" w:lineRule="auto"/>
      </w:pPr>
      <w:r>
        <w:separator/>
      </w:r>
    </w:p>
  </w:endnote>
  <w:endnote w:type="continuationSeparator" w:id="0">
    <w:p w:rsidR="00B47C7C" w:rsidRDefault="00B47C7C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C" w:rsidRDefault="00100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92" w:rsidRDefault="00CF466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31192">
      <w:rPr>
        <w:noProof/>
      </w:rPr>
      <w:t>2</w:t>
    </w:r>
    <w:r>
      <w:rPr>
        <w:noProof/>
      </w:rPr>
      <w:fldChar w:fldCharType="end"/>
    </w:r>
  </w:p>
  <w:p w:rsidR="00631192" w:rsidRDefault="006311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164"/>
      <w:docPartObj>
        <w:docPartGallery w:val="Page Numbers (Bottom of Page)"/>
        <w:docPartUnique/>
      </w:docPartObj>
    </w:sdtPr>
    <w:sdtEndPr/>
    <w:sdtContent>
      <w:p w:rsidR="00631192" w:rsidRDefault="00CF466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192" w:rsidRDefault="0063119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165"/>
      <w:docPartObj>
        <w:docPartGallery w:val="Page Numbers (Bottom of Page)"/>
        <w:docPartUnique/>
      </w:docPartObj>
    </w:sdtPr>
    <w:sdtEndPr/>
    <w:sdtContent>
      <w:p w:rsidR="00631192" w:rsidRDefault="00CF466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192" w:rsidRDefault="00631192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7C" w:rsidRDefault="00B47C7C" w:rsidP="009029B5">
      <w:pPr>
        <w:spacing w:after="0" w:line="240" w:lineRule="auto"/>
      </w:pPr>
      <w:r>
        <w:separator/>
      </w:r>
    </w:p>
  </w:footnote>
  <w:footnote w:type="continuationSeparator" w:id="0">
    <w:p w:rsidR="00B47C7C" w:rsidRDefault="00B47C7C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C" w:rsidRDefault="00100C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92" w:rsidRPr="006B4D6E" w:rsidRDefault="00631192" w:rsidP="001B160A">
    <w:pPr>
      <w:spacing w:after="0"/>
      <w:jc w:val="center"/>
      <w:rPr>
        <w:rFonts w:asciiTheme="minorHAnsi" w:eastAsiaTheme="minorEastAsia" w:hAnsiTheme="minorHAnsi" w:cstheme="minorBidi"/>
        <w:b/>
        <w:bCs/>
        <w:i/>
        <w:iCs/>
        <w:sz w:val="24"/>
        <w:szCs w:val="24"/>
      </w:rPr>
    </w:pPr>
    <w:r w:rsidRPr="003A6F40">
      <w:rPr>
        <w:rFonts w:asciiTheme="minorHAnsi" w:hAnsiTheme="minorHAnsi"/>
        <w:i/>
        <w:sz w:val="20"/>
      </w:rPr>
      <w:t xml:space="preserve">Załącznik do Uchwały nr </w:t>
    </w:r>
    <w:r w:rsidR="00100C6C">
      <w:rPr>
        <w:rFonts w:asciiTheme="minorHAnsi" w:hAnsiTheme="minorHAnsi"/>
        <w:i/>
        <w:sz w:val="20"/>
      </w:rPr>
      <w:t>13</w:t>
    </w:r>
    <w:bookmarkStart w:id="1" w:name="_GoBack"/>
    <w:bookmarkEnd w:id="1"/>
    <w:r w:rsidR="00DD24B9">
      <w:rPr>
        <w:rFonts w:asciiTheme="minorHAnsi" w:hAnsiTheme="minorHAnsi"/>
        <w:i/>
        <w:sz w:val="20"/>
      </w:rPr>
      <w:t xml:space="preserve"> </w:t>
    </w:r>
    <w:r w:rsidRPr="003A6F40">
      <w:rPr>
        <w:rFonts w:asciiTheme="minorHAnsi" w:hAnsiTheme="minorHAnsi"/>
        <w:i/>
        <w:sz w:val="20"/>
      </w:rPr>
      <w:t xml:space="preserve">Komitetu Monitorującego </w:t>
    </w:r>
    <w:r w:rsidR="00DD24B9">
      <w:rPr>
        <w:rFonts w:asciiTheme="minorHAnsi" w:hAnsiTheme="minorHAnsi"/>
        <w:i/>
        <w:sz w:val="20"/>
      </w:rPr>
      <w:t xml:space="preserve">program </w:t>
    </w:r>
    <w:r w:rsidRPr="003A6F40">
      <w:rPr>
        <w:rFonts w:asciiTheme="minorHAnsi" w:hAnsiTheme="minorHAnsi"/>
        <w:i/>
        <w:sz w:val="20"/>
      </w:rPr>
      <w:t xml:space="preserve">Fundusze Europejskie dla Śląskiego 2021-2027  z dnia </w:t>
    </w:r>
    <w:r w:rsidR="00DD24B9">
      <w:rPr>
        <w:rFonts w:asciiTheme="minorHAnsi" w:hAnsiTheme="minorHAnsi"/>
        <w:i/>
        <w:sz w:val="20"/>
      </w:rPr>
      <w:t>28 marca</w:t>
    </w:r>
    <w:r w:rsidRPr="003A6F40">
      <w:rPr>
        <w:rFonts w:asciiTheme="minorHAnsi" w:hAnsiTheme="minorHAnsi"/>
        <w:i/>
        <w:sz w:val="20"/>
      </w:rPr>
      <w:t xml:space="preserve"> 2023 roku w sprawie </w:t>
    </w:r>
    <w:bookmarkStart w:id="2" w:name="_Toc433127960"/>
    <w:bookmarkStart w:id="3" w:name="_Toc527017886"/>
    <w:r w:rsidRPr="001B160A">
      <w:rPr>
        <w:rFonts w:asciiTheme="minorHAnsi" w:hAnsiTheme="minorHAnsi"/>
        <w:i/>
        <w:sz w:val="20"/>
      </w:rPr>
      <w:t>przyjęcia metodyki stosowanej przy wyborze projektów w ramach działań FE SL 2021-2027 wdrażanych przez Wojewódzki Urząd Pracy w Katowicach</w:t>
    </w:r>
  </w:p>
  <w:p w:rsidR="00631192" w:rsidRPr="003A6F40" w:rsidRDefault="00631192" w:rsidP="003A6F40">
    <w:pPr>
      <w:pStyle w:val="Nagwek4"/>
      <w:rPr>
        <w:rFonts w:asciiTheme="minorHAnsi" w:hAnsiTheme="minorHAnsi"/>
        <w:i/>
        <w:sz w:val="20"/>
      </w:rPr>
    </w:pPr>
  </w:p>
  <w:bookmarkEnd w:id="2"/>
  <w:bookmarkEnd w:id="3"/>
  <w:p w:rsidR="00631192" w:rsidRDefault="006311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92" w:rsidRDefault="00631192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767"/>
    <w:multiLevelType w:val="hybridMultilevel"/>
    <w:tmpl w:val="04488F5C"/>
    <w:lvl w:ilvl="0" w:tplc="079A1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07C7A"/>
    <w:multiLevelType w:val="hybridMultilevel"/>
    <w:tmpl w:val="389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97970"/>
    <w:multiLevelType w:val="hybridMultilevel"/>
    <w:tmpl w:val="35869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039F"/>
    <w:multiLevelType w:val="hybridMultilevel"/>
    <w:tmpl w:val="1624A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1C18"/>
    <w:multiLevelType w:val="hybridMultilevel"/>
    <w:tmpl w:val="BD52768E"/>
    <w:lvl w:ilvl="0" w:tplc="DAEC3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F4526"/>
    <w:multiLevelType w:val="hybridMultilevel"/>
    <w:tmpl w:val="2DF8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96982"/>
    <w:multiLevelType w:val="hybridMultilevel"/>
    <w:tmpl w:val="BB2297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04B75"/>
    <w:multiLevelType w:val="hybridMultilevel"/>
    <w:tmpl w:val="F9A26370"/>
    <w:lvl w:ilvl="0" w:tplc="EF3C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650F6"/>
    <w:multiLevelType w:val="hybridMultilevel"/>
    <w:tmpl w:val="D9260F30"/>
    <w:lvl w:ilvl="0" w:tplc="E5DA6F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B5"/>
    <w:rsid w:val="00002674"/>
    <w:rsid w:val="00006BA9"/>
    <w:rsid w:val="000129B2"/>
    <w:rsid w:val="0001536D"/>
    <w:rsid w:val="00022CF7"/>
    <w:rsid w:val="00025C6C"/>
    <w:rsid w:val="00052FEB"/>
    <w:rsid w:val="0005334C"/>
    <w:rsid w:val="00054F52"/>
    <w:rsid w:val="00077C5F"/>
    <w:rsid w:val="00091971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0C6C"/>
    <w:rsid w:val="001051C4"/>
    <w:rsid w:val="00111591"/>
    <w:rsid w:val="001248B2"/>
    <w:rsid w:val="00157557"/>
    <w:rsid w:val="001636F5"/>
    <w:rsid w:val="001733F6"/>
    <w:rsid w:val="00174B15"/>
    <w:rsid w:val="00197F09"/>
    <w:rsid w:val="001A3C70"/>
    <w:rsid w:val="001A48F0"/>
    <w:rsid w:val="001B160A"/>
    <w:rsid w:val="001C6C71"/>
    <w:rsid w:val="001D6779"/>
    <w:rsid w:val="001E16F4"/>
    <w:rsid w:val="001F5F7A"/>
    <w:rsid w:val="00203C43"/>
    <w:rsid w:val="00217B2A"/>
    <w:rsid w:val="0023555D"/>
    <w:rsid w:val="002426B9"/>
    <w:rsid w:val="00251BCB"/>
    <w:rsid w:val="00264C43"/>
    <w:rsid w:val="00264F60"/>
    <w:rsid w:val="0029122B"/>
    <w:rsid w:val="002943FA"/>
    <w:rsid w:val="00294C9A"/>
    <w:rsid w:val="002A3FA9"/>
    <w:rsid w:val="002A7274"/>
    <w:rsid w:val="002B0AE7"/>
    <w:rsid w:val="002B7351"/>
    <w:rsid w:val="002E540D"/>
    <w:rsid w:val="002F08C6"/>
    <w:rsid w:val="002F35CD"/>
    <w:rsid w:val="002F453A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57165"/>
    <w:rsid w:val="00367A56"/>
    <w:rsid w:val="00370AD8"/>
    <w:rsid w:val="0037477A"/>
    <w:rsid w:val="00375166"/>
    <w:rsid w:val="00376A35"/>
    <w:rsid w:val="00381A46"/>
    <w:rsid w:val="00386B96"/>
    <w:rsid w:val="003902F3"/>
    <w:rsid w:val="003A484B"/>
    <w:rsid w:val="003A6F40"/>
    <w:rsid w:val="003A739D"/>
    <w:rsid w:val="003C0F43"/>
    <w:rsid w:val="00403891"/>
    <w:rsid w:val="00411066"/>
    <w:rsid w:val="00413384"/>
    <w:rsid w:val="004201FA"/>
    <w:rsid w:val="004304FD"/>
    <w:rsid w:val="00437684"/>
    <w:rsid w:val="004420BC"/>
    <w:rsid w:val="00445108"/>
    <w:rsid w:val="00454C80"/>
    <w:rsid w:val="00455866"/>
    <w:rsid w:val="004561D5"/>
    <w:rsid w:val="00460B24"/>
    <w:rsid w:val="00464B8E"/>
    <w:rsid w:val="00470F41"/>
    <w:rsid w:val="00474268"/>
    <w:rsid w:val="004835C9"/>
    <w:rsid w:val="004929F9"/>
    <w:rsid w:val="00494A64"/>
    <w:rsid w:val="00497E32"/>
    <w:rsid w:val="004A7DDE"/>
    <w:rsid w:val="004B3080"/>
    <w:rsid w:val="004C3D74"/>
    <w:rsid w:val="004E78D3"/>
    <w:rsid w:val="004F5562"/>
    <w:rsid w:val="00506313"/>
    <w:rsid w:val="00522101"/>
    <w:rsid w:val="00530452"/>
    <w:rsid w:val="00533263"/>
    <w:rsid w:val="00541040"/>
    <w:rsid w:val="005465A2"/>
    <w:rsid w:val="00547E53"/>
    <w:rsid w:val="005570A7"/>
    <w:rsid w:val="00557EDC"/>
    <w:rsid w:val="005845AB"/>
    <w:rsid w:val="005A1ED6"/>
    <w:rsid w:val="005A72A3"/>
    <w:rsid w:val="005B6314"/>
    <w:rsid w:val="005C0BFF"/>
    <w:rsid w:val="005C5EA9"/>
    <w:rsid w:val="005C77F0"/>
    <w:rsid w:val="005E49FF"/>
    <w:rsid w:val="005F70B7"/>
    <w:rsid w:val="0062463D"/>
    <w:rsid w:val="00631192"/>
    <w:rsid w:val="00643592"/>
    <w:rsid w:val="00653486"/>
    <w:rsid w:val="006676D2"/>
    <w:rsid w:val="00672A2A"/>
    <w:rsid w:val="00674623"/>
    <w:rsid w:val="0069111B"/>
    <w:rsid w:val="00695047"/>
    <w:rsid w:val="00696702"/>
    <w:rsid w:val="006A0D11"/>
    <w:rsid w:val="006B4D6E"/>
    <w:rsid w:val="006C2006"/>
    <w:rsid w:val="006C2223"/>
    <w:rsid w:val="006C7224"/>
    <w:rsid w:val="006D7D81"/>
    <w:rsid w:val="006E6A1B"/>
    <w:rsid w:val="006F5F71"/>
    <w:rsid w:val="00706CB6"/>
    <w:rsid w:val="007518F7"/>
    <w:rsid w:val="0075478F"/>
    <w:rsid w:val="00755761"/>
    <w:rsid w:val="0076572D"/>
    <w:rsid w:val="007707E2"/>
    <w:rsid w:val="0077668D"/>
    <w:rsid w:val="0077767B"/>
    <w:rsid w:val="0078339D"/>
    <w:rsid w:val="00793685"/>
    <w:rsid w:val="00793EBA"/>
    <w:rsid w:val="007B34B0"/>
    <w:rsid w:val="007B3B7F"/>
    <w:rsid w:val="007B46ED"/>
    <w:rsid w:val="007E2F13"/>
    <w:rsid w:val="007E33ED"/>
    <w:rsid w:val="007E6713"/>
    <w:rsid w:val="007F1464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6A0B"/>
    <w:rsid w:val="00857138"/>
    <w:rsid w:val="00860966"/>
    <w:rsid w:val="00861BB0"/>
    <w:rsid w:val="00865AE5"/>
    <w:rsid w:val="00865BB9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E6D57"/>
    <w:rsid w:val="009F1A30"/>
    <w:rsid w:val="009F60B0"/>
    <w:rsid w:val="00A106C0"/>
    <w:rsid w:val="00A22E9B"/>
    <w:rsid w:val="00A243AE"/>
    <w:rsid w:val="00A27313"/>
    <w:rsid w:val="00A4653A"/>
    <w:rsid w:val="00A54113"/>
    <w:rsid w:val="00A54181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AE2781"/>
    <w:rsid w:val="00B01329"/>
    <w:rsid w:val="00B028B9"/>
    <w:rsid w:val="00B12BE4"/>
    <w:rsid w:val="00B229CD"/>
    <w:rsid w:val="00B47C7C"/>
    <w:rsid w:val="00B51B92"/>
    <w:rsid w:val="00B65021"/>
    <w:rsid w:val="00B91CA4"/>
    <w:rsid w:val="00B92C2F"/>
    <w:rsid w:val="00B94144"/>
    <w:rsid w:val="00B97556"/>
    <w:rsid w:val="00BA1227"/>
    <w:rsid w:val="00BA66A6"/>
    <w:rsid w:val="00BB1239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63D34"/>
    <w:rsid w:val="00C7241E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667"/>
    <w:rsid w:val="00CF47E6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A2585"/>
    <w:rsid w:val="00DC0864"/>
    <w:rsid w:val="00DC33D0"/>
    <w:rsid w:val="00DD0882"/>
    <w:rsid w:val="00DD24B9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D067F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E17F3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E5437-4B02-48A2-9BF1-4902BE2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304F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04FD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38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scxw191472191">
    <w:name w:val="scxw191472191"/>
    <w:basedOn w:val="Domylnaczcionkaakapitu"/>
    <w:rsid w:val="000129B2"/>
  </w:style>
  <w:style w:type="character" w:customStyle="1" w:styleId="spellingerror">
    <w:name w:val="spellingerror"/>
    <w:basedOn w:val="Domylnaczcionkaakapitu"/>
    <w:rsid w:val="0001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49E155B-443E-4FCB-A027-872A3B73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 Anna</dc:creator>
  <cp:lastModifiedBy>Brodzka Magdalena</cp:lastModifiedBy>
  <cp:revision>29</cp:revision>
  <cp:lastPrinted>2022-04-15T07:22:00Z</cp:lastPrinted>
  <dcterms:created xsi:type="dcterms:W3CDTF">2023-03-06T06:04:00Z</dcterms:created>
  <dcterms:modified xsi:type="dcterms:W3CDTF">2023-03-24T10:34:00Z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