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A3FA2" w14:textId="77777777" w:rsidR="00A5300B" w:rsidRDefault="00A5300B" w:rsidP="00CE3DA4">
      <w:pPr>
        <w:spacing w:line="240" w:lineRule="auto"/>
        <w:jc w:val="center"/>
        <w:rPr>
          <w:rFonts w:cs="Calibri"/>
          <w:b/>
          <w:bCs/>
        </w:rPr>
      </w:pPr>
      <w:bookmarkStart w:id="0" w:name="_Toc416693506"/>
    </w:p>
    <w:p w14:paraId="70D8173F" w14:textId="4CF4A561" w:rsidR="00A6025E" w:rsidRPr="00E14AED" w:rsidRDefault="00F5772A" w:rsidP="001E266D">
      <w:pPr>
        <w:spacing w:line="240" w:lineRule="auto"/>
        <w:jc w:val="center"/>
        <w:rPr>
          <w:rFonts w:cs="Calibri"/>
          <w:b/>
          <w:bCs/>
        </w:rPr>
      </w:pPr>
      <w:r w:rsidRPr="475A6204">
        <w:rPr>
          <w:rFonts w:cs="Calibri"/>
          <w:b/>
          <w:bCs/>
        </w:rPr>
        <w:t>Uchwała nr</w:t>
      </w:r>
      <w:r w:rsidR="00B83694">
        <w:rPr>
          <w:rFonts w:cs="Calibri"/>
          <w:b/>
          <w:bCs/>
        </w:rPr>
        <w:t xml:space="preserve"> 163</w:t>
      </w:r>
      <w:r w:rsidR="00E94679" w:rsidRPr="475A6204">
        <w:rPr>
          <w:rFonts w:cs="Calibri"/>
          <w:b/>
          <w:bCs/>
        </w:rPr>
        <w:t xml:space="preserve">  </w:t>
      </w:r>
    </w:p>
    <w:p w14:paraId="2D00AD38" w14:textId="77777777" w:rsidR="00F5772A" w:rsidRPr="00E14AED" w:rsidRDefault="00F5772A" w:rsidP="00CE3DA4">
      <w:pPr>
        <w:spacing w:line="240" w:lineRule="auto"/>
        <w:jc w:val="center"/>
        <w:rPr>
          <w:rFonts w:cs="Calibri"/>
          <w:b/>
          <w:bCs/>
        </w:rPr>
      </w:pPr>
      <w:r w:rsidRPr="00E14AED">
        <w:rPr>
          <w:rFonts w:cs="Calibri"/>
          <w:b/>
          <w:bCs/>
        </w:rPr>
        <w:t>Komitetu Monitorującego</w:t>
      </w:r>
    </w:p>
    <w:p w14:paraId="0E021563" w14:textId="711BC3C7" w:rsidR="006365E8" w:rsidRPr="00E14AED" w:rsidRDefault="005D34D4" w:rsidP="00CE3DA4">
      <w:pPr>
        <w:spacing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</w:t>
      </w:r>
      <w:r w:rsidR="006365E8" w:rsidRPr="00E14AED">
        <w:rPr>
          <w:rFonts w:cs="Calibri"/>
          <w:b/>
          <w:bCs/>
        </w:rPr>
        <w:t>rogram Fundusze Europejskie dla Śląskiego 20</w:t>
      </w:r>
      <w:r w:rsidR="00DC7557">
        <w:rPr>
          <w:rFonts w:cs="Calibri"/>
          <w:b/>
          <w:bCs/>
        </w:rPr>
        <w:t>2</w:t>
      </w:r>
      <w:r w:rsidR="006365E8" w:rsidRPr="00E14AED">
        <w:rPr>
          <w:rFonts w:cs="Calibri"/>
          <w:b/>
          <w:bCs/>
        </w:rPr>
        <w:t>1-2027</w:t>
      </w:r>
    </w:p>
    <w:p w14:paraId="00FB3ADB" w14:textId="2B5BB471" w:rsidR="00F5772A" w:rsidRPr="00E14AED" w:rsidRDefault="00F5772A" w:rsidP="00CE3DA4">
      <w:pPr>
        <w:spacing w:line="240" w:lineRule="auto"/>
        <w:jc w:val="center"/>
        <w:rPr>
          <w:rFonts w:cs="Calibri"/>
          <w:b/>
          <w:bCs/>
        </w:rPr>
      </w:pPr>
      <w:r w:rsidRPr="00E14AED">
        <w:rPr>
          <w:rFonts w:cs="Calibri"/>
          <w:b/>
          <w:bCs/>
        </w:rPr>
        <w:t>z dnia</w:t>
      </w:r>
      <w:r w:rsidR="001E266D">
        <w:rPr>
          <w:rFonts w:cs="Calibri"/>
          <w:b/>
          <w:bCs/>
        </w:rPr>
        <w:t xml:space="preserve"> </w:t>
      </w:r>
      <w:r w:rsidR="00B83694">
        <w:rPr>
          <w:rFonts w:cs="Calibri"/>
          <w:b/>
          <w:bCs/>
        </w:rPr>
        <w:t>6 lutego 2025</w:t>
      </w:r>
      <w:bookmarkStart w:id="1" w:name="_GoBack"/>
      <w:bookmarkEnd w:id="1"/>
    </w:p>
    <w:p w14:paraId="410D8667" w14:textId="77777777" w:rsidR="00A6025E" w:rsidRPr="00E14AED" w:rsidRDefault="00A6025E" w:rsidP="00CE3DA4">
      <w:pPr>
        <w:spacing w:line="240" w:lineRule="auto"/>
        <w:jc w:val="center"/>
        <w:rPr>
          <w:rFonts w:cs="Calibri"/>
          <w:b/>
          <w:bCs/>
        </w:rPr>
      </w:pPr>
    </w:p>
    <w:p w14:paraId="3EE9E2A7" w14:textId="77777777" w:rsidR="00F5772A" w:rsidRPr="00E14AED" w:rsidRDefault="00F5772A" w:rsidP="00CE3DA4">
      <w:pPr>
        <w:spacing w:line="240" w:lineRule="auto"/>
        <w:jc w:val="center"/>
        <w:rPr>
          <w:rFonts w:cs="Calibri"/>
          <w:bCs/>
        </w:rPr>
      </w:pPr>
      <w:r w:rsidRPr="00E14AED">
        <w:rPr>
          <w:rFonts w:cs="Calibri"/>
          <w:bCs/>
        </w:rPr>
        <w:t>w sprawie</w:t>
      </w:r>
    </w:p>
    <w:p w14:paraId="2DA8FFAE" w14:textId="29FF4484" w:rsidR="00F5772A" w:rsidRPr="00E14AED" w:rsidRDefault="001E5EA2" w:rsidP="00CE3DA4">
      <w:pPr>
        <w:spacing w:after="0" w:line="240" w:lineRule="auto"/>
        <w:jc w:val="center"/>
        <w:rPr>
          <w:rFonts w:cs="Calibri"/>
          <w:bCs/>
        </w:rPr>
      </w:pPr>
      <w:r w:rsidRPr="00E14AED">
        <w:rPr>
          <w:rFonts w:cs="Calibri"/>
          <w:bCs/>
        </w:rPr>
        <w:t xml:space="preserve">zatwierdzenia projektu zmian </w:t>
      </w:r>
      <w:r w:rsidR="006365E8" w:rsidRPr="00E14AED">
        <w:rPr>
          <w:rFonts w:cs="Calibri"/>
          <w:bCs/>
        </w:rPr>
        <w:t>Programu Fundusze Europejskie dla Śląskiego</w:t>
      </w:r>
      <w:r w:rsidR="00684351" w:rsidRPr="00E14AED">
        <w:rPr>
          <w:rFonts w:cs="Calibri"/>
          <w:bCs/>
        </w:rPr>
        <w:t xml:space="preserve"> </w:t>
      </w:r>
      <w:r w:rsidR="00F5772A" w:rsidRPr="00E14AED">
        <w:rPr>
          <w:rFonts w:cs="Calibri"/>
          <w:bCs/>
        </w:rPr>
        <w:t>20</w:t>
      </w:r>
      <w:r w:rsidR="006365E8" w:rsidRPr="00E14AED">
        <w:rPr>
          <w:rFonts w:cs="Calibri"/>
          <w:bCs/>
        </w:rPr>
        <w:t>21</w:t>
      </w:r>
      <w:r w:rsidR="00F5772A" w:rsidRPr="00E14AED">
        <w:rPr>
          <w:rFonts w:cs="Calibri"/>
          <w:bCs/>
        </w:rPr>
        <w:t xml:space="preserve"> – 202</w:t>
      </w:r>
      <w:r w:rsidR="006365E8" w:rsidRPr="00E14AED">
        <w:rPr>
          <w:rFonts w:cs="Calibri"/>
          <w:bCs/>
        </w:rPr>
        <w:t>7</w:t>
      </w:r>
      <w:r w:rsidR="0066531A" w:rsidRPr="00E14AED">
        <w:rPr>
          <w:rFonts w:cs="Calibri"/>
          <w:bCs/>
        </w:rPr>
        <w:t xml:space="preserve"> </w:t>
      </w:r>
    </w:p>
    <w:p w14:paraId="476575FA" w14:textId="77777777" w:rsidR="00F5772A" w:rsidRPr="00E14AED" w:rsidRDefault="00F5772A" w:rsidP="00CE3DA4">
      <w:pPr>
        <w:spacing w:after="0" w:line="240" w:lineRule="auto"/>
        <w:jc w:val="center"/>
        <w:rPr>
          <w:rFonts w:cs="Calibri"/>
          <w:b/>
          <w:bCs/>
          <w:i/>
        </w:rPr>
      </w:pPr>
    </w:p>
    <w:p w14:paraId="1A6BC167" w14:textId="77777777" w:rsidR="00CE3DA4" w:rsidRPr="00E14AED" w:rsidRDefault="00CE3DA4" w:rsidP="00CE3DA4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</w:p>
    <w:p w14:paraId="32E74E22" w14:textId="77777777" w:rsidR="006365E8" w:rsidRPr="001E266D" w:rsidRDefault="0070511B" w:rsidP="001E266D">
      <w:pPr>
        <w:spacing w:after="40" w:line="360" w:lineRule="auto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Na podstawie </w:t>
      </w:r>
      <w:r w:rsidR="020D6E0C" w:rsidRPr="001E266D">
        <w:rPr>
          <w:rFonts w:cs="Calibri"/>
          <w:i/>
          <w:iCs/>
        </w:rPr>
        <w:t>art. 40 ust. 2 lit. d)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036C16">
        <w:rPr>
          <w:rFonts w:cs="Calibri"/>
          <w:i/>
          <w:iCs/>
        </w:rPr>
        <w:t xml:space="preserve"> (</w:t>
      </w:r>
      <w:proofErr w:type="spellStart"/>
      <w:r w:rsidR="00036C16">
        <w:rPr>
          <w:rFonts w:cs="Calibri"/>
          <w:i/>
          <w:iCs/>
        </w:rPr>
        <w:t>Dz.U.UE.L</w:t>
      </w:r>
      <w:proofErr w:type="spellEnd"/>
      <w:r w:rsidR="00036C16">
        <w:rPr>
          <w:rFonts w:cs="Calibri"/>
          <w:i/>
          <w:iCs/>
        </w:rPr>
        <w:t xml:space="preserve">. z 2021 r., poz. 231, str. 159), </w:t>
      </w:r>
      <w:r w:rsidR="77012E47" w:rsidRPr="6A3A532D">
        <w:rPr>
          <w:rFonts w:cs="Calibri"/>
          <w:i/>
          <w:iCs/>
        </w:rPr>
        <w:t xml:space="preserve"> art. 19 ustawy z dnia 28 kwietnia 2022 r o zasadach realizacji zadań finansowanych ze środków europejskich w perspektywie finansowej 2021–2027</w:t>
      </w:r>
      <w:r w:rsidR="00036C16">
        <w:rPr>
          <w:rFonts w:cs="Calibri"/>
          <w:i/>
          <w:iCs/>
        </w:rPr>
        <w:t xml:space="preserve"> (</w:t>
      </w:r>
      <w:r w:rsidR="007A5B65" w:rsidRPr="007A5B65">
        <w:rPr>
          <w:rFonts w:cs="Calibri"/>
          <w:i/>
          <w:iCs/>
        </w:rPr>
        <w:t xml:space="preserve">tekst jedn. Dz.U. z 2022, poz. 1079 z </w:t>
      </w:r>
      <w:proofErr w:type="spellStart"/>
      <w:r w:rsidR="007A5B65" w:rsidRPr="007A5B65">
        <w:rPr>
          <w:rFonts w:cs="Calibri"/>
          <w:i/>
          <w:iCs/>
        </w:rPr>
        <w:t>późn</w:t>
      </w:r>
      <w:proofErr w:type="spellEnd"/>
      <w:r w:rsidR="007A5B65" w:rsidRPr="007A5B65">
        <w:rPr>
          <w:rFonts w:cs="Calibri"/>
          <w:i/>
          <w:iCs/>
        </w:rPr>
        <w:t>. zm.</w:t>
      </w:r>
      <w:r w:rsidR="00036C16">
        <w:rPr>
          <w:rFonts w:cs="Calibri"/>
          <w:i/>
          <w:iCs/>
        </w:rPr>
        <w:t>)</w:t>
      </w:r>
    </w:p>
    <w:p w14:paraId="6EAD2D4A" w14:textId="77777777" w:rsidR="475A6204" w:rsidRDefault="475A6204" w:rsidP="475A6204">
      <w:pPr>
        <w:pStyle w:val="paragraph"/>
        <w:spacing w:before="0" w:beforeAutospacing="0" w:after="120" w:afterAutospacing="0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04AF5FE8" w14:textId="77777777" w:rsidR="00F5772A" w:rsidRPr="00E14AED" w:rsidRDefault="00F5772A" w:rsidP="00CE3DA4">
      <w:pPr>
        <w:spacing w:before="120" w:after="120" w:line="240" w:lineRule="auto"/>
        <w:jc w:val="center"/>
        <w:rPr>
          <w:rFonts w:cs="Calibri"/>
          <w:bCs/>
        </w:rPr>
      </w:pPr>
      <w:r w:rsidRPr="00E14AED">
        <w:rPr>
          <w:rFonts w:cs="Calibri"/>
          <w:bCs/>
        </w:rPr>
        <w:t>§ 1</w:t>
      </w:r>
    </w:p>
    <w:p w14:paraId="56FEE9AC" w14:textId="2B5ED3A0" w:rsidR="00F05AAD" w:rsidRPr="00E14AED" w:rsidRDefault="001E5EA2" w:rsidP="6D5A5328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cs="Calibri"/>
          <w:b w:val="0"/>
          <w:bCs w:val="0"/>
        </w:rPr>
      </w:pPr>
      <w:r w:rsidRPr="6D5A5328">
        <w:rPr>
          <w:rStyle w:val="Pogrubienie"/>
          <w:rFonts w:cs="Calibri"/>
          <w:b w:val="0"/>
          <w:bCs w:val="0"/>
        </w:rPr>
        <w:t xml:space="preserve">Zatwierdza się projekt zmian </w:t>
      </w:r>
      <w:r w:rsidR="006365E8" w:rsidRPr="6D5A5328">
        <w:rPr>
          <w:rStyle w:val="Pogrubienie"/>
          <w:rFonts w:cs="Calibri"/>
          <w:b w:val="0"/>
          <w:bCs w:val="0"/>
        </w:rPr>
        <w:t>Programu Fundusze Europejskie dla Śląskiego</w:t>
      </w:r>
      <w:r w:rsidRPr="6D5A5328">
        <w:rPr>
          <w:rStyle w:val="Pogrubienie"/>
          <w:rFonts w:cs="Calibri"/>
          <w:b w:val="0"/>
          <w:bCs w:val="0"/>
        </w:rPr>
        <w:t xml:space="preserve"> 2</w:t>
      </w:r>
      <w:r w:rsidR="006365E8" w:rsidRPr="6D5A5328">
        <w:rPr>
          <w:rStyle w:val="Pogrubienie"/>
          <w:rFonts w:cs="Calibri"/>
          <w:b w:val="0"/>
          <w:bCs w:val="0"/>
        </w:rPr>
        <w:t>021</w:t>
      </w:r>
      <w:r w:rsidRPr="6D5A5328">
        <w:rPr>
          <w:rStyle w:val="Pogrubienie"/>
          <w:rFonts w:cs="Calibri"/>
          <w:b w:val="0"/>
          <w:bCs w:val="0"/>
        </w:rPr>
        <w:t>-202</w:t>
      </w:r>
      <w:r w:rsidR="006365E8" w:rsidRPr="6D5A5328">
        <w:rPr>
          <w:rStyle w:val="Pogrubienie"/>
          <w:rFonts w:cs="Calibri"/>
          <w:b w:val="0"/>
          <w:bCs w:val="0"/>
        </w:rPr>
        <w:t>7</w:t>
      </w:r>
      <w:r w:rsidR="00F05AAD" w:rsidRPr="6D5A5328">
        <w:rPr>
          <w:rStyle w:val="Pogrubienie"/>
          <w:rFonts w:cs="Calibri"/>
          <w:b w:val="0"/>
          <w:bCs w:val="0"/>
        </w:rPr>
        <w:t>, zwan</w:t>
      </w:r>
      <w:r w:rsidR="00E31695" w:rsidRPr="6D5A5328">
        <w:rPr>
          <w:rStyle w:val="Pogrubienie"/>
          <w:rFonts w:cs="Calibri"/>
          <w:b w:val="0"/>
          <w:bCs w:val="0"/>
        </w:rPr>
        <w:t>y</w:t>
      </w:r>
      <w:r w:rsidR="00F05AAD" w:rsidRPr="6D5A5328">
        <w:rPr>
          <w:rStyle w:val="Pogrubienie"/>
          <w:rFonts w:cs="Calibri"/>
          <w:b w:val="0"/>
          <w:bCs w:val="0"/>
        </w:rPr>
        <w:t xml:space="preserve"> dalej „Programem”,</w:t>
      </w:r>
      <w:r w:rsidRPr="6D5A5328">
        <w:rPr>
          <w:rStyle w:val="Pogrubienie"/>
          <w:rFonts w:cs="Calibri"/>
          <w:b w:val="0"/>
          <w:bCs w:val="0"/>
        </w:rPr>
        <w:t xml:space="preserve"> </w:t>
      </w:r>
    </w:p>
    <w:p w14:paraId="0C5753A3" w14:textId="4824AF61" w:rsidR="001E266D" w:rsidRPr="001E266D" w:rsidRDefault="12A18EFA" w:rsidP="436AC398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cs="Calibri"/>
        </w:rPr>
      </w:pPr>
      <w:r w:rsidRPr="6D5A5328">
        <w:rPr>
          <w:rStyle w:val="Pogrubienie"/>
          <w:rFonts w:cs="Calibri"/>
          <w:b w:val="0"/>
          <w:bCs w:val="0"/>
        </w:rPr>
        <w:t>Komitet Monitorujący upoważnia Instytucję Zarządzającą Programu Fundusze Europejskie dla Śląskiego 2021-2027 do wprowadzania zmian w Programie, wynikających z prowadzenia uzgodnień z Komisją Europejską</w:t>
      </w:r>
      <w:r w:rsidR="00E94679">
        <w:rPr>
          <w:rStyle w:val="Pogrubienie"/>
          <w:rFonts w:cs="Calibri"/>
          <w:b w:val="0"/>
          <w:bCs w:val="0"/>
        </w:rPr>
        <w:t xml:space="preserve"> oraz Instytucją Koordynującą Umowę Partnerstwa</w:t>
      </w:r>
      <w:r w:rsidRPr="6D5A5328">
        <w:rPr>
          <w:rStyle w:val="Pogrubienie"/>
          <w:rFonts w:cs="Calibri"/>
          <w:b w:val="0"/>
          <w:bCs w:val="0"/>
        </w:rPr>
        <w:t>.</w:t>
      </w:r>
    </w:p>
    <w:p w14:paraId="0D305A20" w14:textId="77777777" w:rsidR="00F05AAD" w:rsidRPr="001E266D" w:rsidRDefault="12A18EFA" w:rsidP="436AC398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cs="Calibri"/>
        </w:rPr>
      </w:pPr>
      <w:r w:rsidRPr="001E266D">
        <w:rPr>
          <w:rStyle w:val="Pogrubienie"/>
          <w:rFonts w:cs="Calibri"/>
          <w:b w:val="0"/>
          <w:bCs w:val="0"/>
        </w:rPr>
        <w:t xml:space="preserve">Zmiany stanowią Załącznik </w:t>
      </w:r>
      <w:r w:rsidR="001E266D">
        <w:rPr>
          <w:rStyle w:val="Pogrubienie"/>
          <w:rFonts w:cs="Calibri"/>
          <w:b w:val="0"/>
          <w:bCs w:val="0"/>
        </w:rPr>
        <w:t xml:space="preserve">nr </w:t>
      </w:r>
      <w:r w:rsidRPr="001E266D">
        <w:rPr>
          <w:rStyle w:val="Pogrubienie"/>
          <w:rFonts w:cs="Calibri"/>
          <w:b w:val="0"/>
          <w:bCs w:val="0"/>
        </w:rPr>
        <w:t>1 do niniejszej uchwały.</w:t>
      </w:r>
    </w:p>
    <w:p w14:paraId="12FE4329" w14:textId="77777777" w:rsidR="001E266D" w:rsidRDefault="00F05AAD" w:rsidP="001E266D">
      <w:pPr>
        <w:pStyle w:val="Akapitzlist"/>
        <w:tabs>
          <w:tab w:val="left" w:pos="4253"/>
        </w:tabs>
        <w:spacing w:line="360" w:lineRule="auto"/>
        <w:ind w:left="0"/>
        <w:jc w:val="center"/>
        <w:rPr>
          <w:rFonts w:cs="Calibri"/>
        </w:rPr>
      </w:pPr>
      <w:r w:rsidRPr="436AC398">
        <w:rPr>
          <w:rFonts w:cs="Calibri"/>
        </w:rPr>
        <w:t xml:space="preserve">§ </w:t>
      </w:r>
      <w:r w:rsidR="728EEE37" w:rsidRPr="436AC398">
        <w:rPr>
          <w:rFonts w:cs="Calibri"/>
        </w:rPr>
        <w:t>2</w:t>
      </w:r>
    </w:p>
    <w:p w14:paraId="3F6344F3" w14:textId="77777777" w:rsidR="00F5772A" w:rsidRPr="001E266D" w:rsidRDefault="002F4765" w:rsidP="001E266D">
      <w:pPr>
        <w:pStyle w:val="Akapitzlist"/>
        <w:tabs>
          <w:tab w:val="left" w:pos="4253"/>
        </w:tabs>
        <w:spacing w:line="360" w:lineRule="auto"/>
        <w:ind w:left="0"/>
        <w:rPr>
          <w:rFonts w:cs="Calibri"/>
        </w:rPr>
      </w:pPr>
      <w:r w:rsidRPr="00E14AED">
        <w:rPr>
          <w:rFonts w:cs="Calibri"/>
        </w:rPr>
        <w:t>Uchwała wchodzi w życie z dniem podjęcia.</w:t>
      </w:r>
    </w:p>
    <w:p w14:paraId="5E58FBF0" w14:textId="77777777" w:rsidR="00F5772A" w:rsidRPr="00E14AED" w:rsidRDefault="00F5772A" w:rsidP="00CE3DA4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  <w:r w:rsidRPr="00E14AE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</w:t>
      </w:r>
      <w:r w:rsidR="009A79F3" w:rsidRPr="00E14AED">
        <w:rPr>
          <w:rFonts w:ascii="Calibri" w:hAnsi="Calibri" w:cs="Calibri"/>
          <w:b/>
          <w:sz w:val="22"/>
          <w:szCs w:val="22"/>
        </w:rPr>
        <w:tab/>
      </w:r>
      <w:r w:rsidR="009A79F3" w:rsidRPr="00E14AED">
        <w:rPr>
          <w:rFonts w:ascii="Calibri" w:hAnsi="Calibri" w:cs="Calibri"/>
          <w:b/>
          <w:sz w:val="22"/>
          <w:szCs w:val="22"/>
        </w:rPr>
        <w:tab/>
      </w:r>
      <w:r w:rsidR="003C6C4F" w:rsidRPr="00E14AED">
        <w:rPr>
          <w:rFonts w:ascii="Calibri" w:hAnsi="Calibri" w:cs="Calibri"/>
          <w:b/>
          <w:sz w:val="22"/>
          <w:szCs w:val="22"/>
        </w:rPr>
        <w:t>Przewodniczący</w:t>
      </w:r>
      <w:r w:rsidRPr="00E14AED">
        <w:rPr>
          <w:rFonts w:ascii="Calibri" w:hAnsi="Calibri" w:cs="Calibri"/>
          <w:b/>
          <w:sz w:val="22"/>
          <w:szCs w:val="22"/>
        </w:rPr>
        <w:t xml:space="preserve"> </w:t>
      </w:r>
    </w:p>
    <w:p w14:paraId="16C601FA" w14:textId="77777777" w:rsidR="00F5772A" w:rsidRPr="00E14AED" w:rsidRDefault="00F5772A" w:rsidP="00CE3DA4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  <w:r w:rsidRPr="00E14AE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CE3DA4" w:rsidRPr="00E14AED">
        <w:rPr>
          <w:rFonts w:ascii="Calibri" w:hAnsi="Calibri" w:cs="Calibri"/>
          <w:b/>
          <w:sz w:val="22"/>
          <w:szCs w:val="22"/>
        </w:rPr>
        <w:tab/>
        <w:t xml:space="preserve">         </w:t>
      </w:r>
      <w:r w:rsidR="009A79F3" w:rsidRPr="00E14AED">
        <w:rPr>
          <w:rFonts w:ascii="Calibri" w:hAnsi="Calibri" w:cs="Calibri"/>
          <w:b/>
          <w:sz w:val="22"/>
          <w:szCs w:val="22"/>
        </w:rPr>
        <w:t xml:space="preserve">KM </w:t>
      </w:r>
      <w:r w:rsidR="00CE3DA4" w:rsidRPr="00E14AED">
        <w:rPr>
          <w:rFonts w:ascii="Calibri" w:hAnsi="Calibri" w:cs="Calibri"/>
          <w:b/>
          <w:sz w:val="22"/>
          <w:szCs w:val="22"/>
        </w:rPr>
        <w:t>FE SL</w:t>
      </w:r>
      <w:r w:rsidRPr="00E14AED">
        <w:rPr>
          <w:rFonts w:ascii="Calibri" w:hAnsi="Calibri" w:cs="Calibri"/>
          <w:b/>
          <w:sz w:val="22"/>
          <w:szCs w:val="22"/>
        </w:rPr>
        <w:t xml:space="preserve"> 20</w:t>
      </w:r>
      <w:r w:rsidR="00CE3DA4" w:rsidRPr="00E14AED">
        <w:rPr>
          <w:rFonts w:ascii="Calibri" w:hAnsi="Calibri" w:cs="Calibri"/>
          <w:b/>
          <w:sz w:val="22"/>
          <w:szCs w:val="22"/>
        </w:rPr>
        <w:t>21</w:t>
      </w:r>
      <w:r w:rsidRPr="00E14AED">
        <w:rPr>
          <w:rFonts w:ascii="Calibri" w:hAnsi="Calibri" w:cs="Calibri"/>
          <w:b/>
          <w:sz w:val="22"/>
          <w:szCs w:val="22"/>
        </w:rPr>
        <w:t xml:space="preserve"> – 202</w:t>
      </w:r>
      <w:r w:rsidR="00CE3DA4" w:rsidRPr="00E14AED">
        <w:rPr>
          <w:rFonts w:ascii="Calibri" w:hAnsi="Calibri" w:cs="Calibri"/>
          <w:b/>
          <w:sz w:val="22"/>
          <w:szCs w:val="22"/>
        </w:rPr>
        <w:t>7</w:t>
      </w:r>
    </w:p>
    <w:p w14:paraId="45469ADA" w14:textId="77777777" w:rsidR="00151CA3" w:rsidRPr="00E14AED" w:rsidRDefault="00151CA3" w:rsidP="00CE3DA4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</w:p>
    <w:p w14:paraId="40AF7E87" w14:textId="77777777" w:rsidR="00151CA3" w:rsidRPr="00E14AED" w:rsidRDefault="00151CA3" w:rsidP="00CE3DA4">
      <w:pPr>
        <w:pStyle w:val="NormalnyWeb"/>
        <w:ind w:left="5664"/>
        <w:jc w:val="both"/>
        <w:rPr>
          <w:rFonts w:ascii="Calibri" w:hAnsi="Calibri" w:cs="Calibri"/>
          <w:b/>
          <w:sz w:val="22"/>
          <w:szCs w:val="22"/>
        </w:rPr>
      </w:pPr>
      <w:r w:rsidRPr="00E14AED">
        <w:rPr>
          <w:rFonts w:ascii="Calibri" w:hAnsi="Calibri" w:cs="Calibri"/>
          <w:b/>
          <w:sz w:val="22"/>
          <w:szCs w:val="22"/>
        </w:rPr>
        <w:t xml:space="preserve">           </w:t>
      </w:r>
      <w:r w:rsidR="00D478D7">
        <w:rPr>
          <w:rFonts w:ascii="Calibri" w:hAnsi="Calibri" w:cs="Calibri"/>
          <w:b/>
          <w:sz w:val="22"/>
          <w:szCs w:val="22"/>
        </w:rPr>
        <w:t>Leszek Pietraszek</w:t>
      </w:r>
    </w:p>
    <w:bookmarkEnd w:id="0"/>
    <w:p w14:paraId="2795D903" w14:textId="77777777" w:rsidR="00684351" w:rsidRPr="00E14AED" w:rsidRDefault="00684351" w:rsidP="00CE3DA4">
      <w:pPr>
        <w:spacing w:after="160" w:line="240" w:lineRule="auto"/>
        <w:rPr>
          <w:rFonts w:cs="Calibri"/>
          <w:b/>
        </w:rPr>
      </w:pPr>
    </w:p>
    <w:p w14:paraId="3AB30502" w14:textId="77777777" w:rsidR="00CE3DA4" w:rsidRPr="00E14AED" w:rsidRDefault="00CE3DA4" w:rsidP="11B02C77">
      <w:pPr>
        <w:spacing w:after="160" w:line="240" w:lineRule="auto"/>
        <w:rPr>
          <w:rFonts w:cs="Calibri"/>
          <w:b/>
          <w:bCs/>
        </w:rPr>
      </w:pPr>
    </w:p>
    <w:p w14:paraId="00D3EB0F" w14:textId="77777777" w:rsidR="11B02C77" w:rsidRDefault="11B02C77" w:rsidP="11B02C77">
      <w:pPr>
        <w:spacing w:after="160" w:line="240" w:lineRule="auto"/>
        <w:rPr>
          <w:rFonts w:cs="Calibri"/>
          <w:b/>
          <w:bCs/>
        </w:rPr>
      </w:pPr>
    </w:p>
    <w:p w14:paraId="5CED3CF2" w14:textId="77777777" w:rsidR="11B02C77" w:rsidRDefault="11B02C77" w:rsidP="11B02C77">
      <w:pPr>
        <w:spacing w:after="160" w:line="240" w:lineRule="auto"/>
        <w:jc w:val="center"/>
        <w:rPr>
          <w:rFonts w:cs="Calibri"/>
          <w:b/>
          <w:bCs/>
        </w:rPr>
      </w:pPr>
    </w:p>
    <w:p w14:paraId="1447E6FC" w14:textId="77777777" w:rsidR="083F2EC9" w:rsidRDefault="083F2EC9" w:rsidP="11B02C77">
      <w:pPr>
        <w:spacing w:after="160" w:line="240" w:lineRule="auto"/>
        <w:jc w:val="center"/>
        <w:rPr>
          <w:rFonts w:cs="Calibri"/>
          <w:b/>
          <w:bCs/>
        </w:rPr>
      </w:pPr>
      <w:r w:rsidRPr="11B02C77">
        <w:rPr>
          <w:rFonts w:cs="Calibri"/>
          <w:b/>
          <w:bCs/>
        </w:rPr>
        <w:t>Uzasadnienie</w:t>
      </w:r>
    </w:p>
    <w:p w14:paraId="25751309" w14:textId="77777777" w:rsidR="0033016E" w:rsidRPr="00E14AED" w:rsidRDefault="0033016E" w:rsidP="001E266D">
      <w:pPr>
        <w:spacing w:after="160" w:line="360" w:lineRule="auto"/>
        <w:jc w:val="both"/>
        <w:rPr>
          <w:rFonts w:cs="Calibri"/>
        </w:rPr>
      </w:pPr>
      <w:r w:rsidRPr="6D5A5328">
        <w:rPr>
          <w:rFonts w:cs="Calibri"/>
        </w:rPr>
        <w:t>Zgodnie z art. 40 ust. 2 lit. d) Rozporządzenia Parlamentu Europejskiego i Rady (UE) 2021/1060 z dnia 24 czerwca 2021 r. ustanawiające</w:t>
      </w:r>
      <w:r w:rsidR="47DF276D" w:rsidRPr="6D5A5328">
        <w:rPr>
          <w:rFonts w:cs="Calibri"/>
        </w:rPr>
        <w:t>go</w:t>
      </w:r>
      <w:r w:rsidRPr="6D5A5328">
        <w:rPr>
          <w:rFonts w:cs="Calibri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(zwanego rozporządzeniem ogólnym) propozycje instytucji zarządzającej, dotyczące zmian programu operacyjnego podlegają zatwierdzeniu przez komitet monitorujący.</w:t>
      </w:r>
    </w:p>
    <w:p w14:paraId="176810AC" w14:textId="3CDC7907" w:rsidR="00D478D7" w:rsidRDefault="00D478D7" w:rsidP="00D478D7">
      <w:pPr>
        <w:spacing w:after="160" w:line="360" w:lineRule="auto"/>
        <w:jc w:val="both"/>
        <w:rPr>
          <w:rFonts w:cs="Calibri"/>
        </w:rPr>
      </w:pPr>
      <w:r w:rsidRPr="00D478D7">
        <w:rPr>
          <w:rFonts w:cs="Calibri"/>
        </w:rPr>
        <w:t>Zgodnie z Rozporządzeniem Parlamentu Europejskiego i Rady (UE) 2021/1060 z dn. 24 czerwca 2021 r. każde państwo członkowskie (w tym regiony) do 31 marca 2025 r. przedkłada Komisji Europejskiej ocenę wyniku przeglądu śródokresowego oraz (jeśli zasadne) propozycję zmiany programu.</w:t>
      </w:r>
    </w:p>
    <w:p w14:paraId="0E544624" w14:textId="77777777" w:rsidR="00D478D7" w:rsidRPr="00D478D7" w:rsidRDefault="00D478D7" w:rsidP="00D478D7">
      <w:pPr>
        <w:spacing w:after="160" w:line="360" w:lineRule="auto"/>
        <w:jc w:val="both"/>
        <w:rPr>
          <w:rFonts w:cs="Calibri"/>
        </w:rPr>
      </w:pPr>
      <w:r w:rsidRPr="00D478D7">
        <w:rPr>
          <w:rFonts w:cs="Calibri"/>
        </w:rPr>
        <w:t xml:space="preserve">Przegląd śródokresowy ma m.in. za zadanie rewizję programu regionalnego w zakresie jego postępu rzeczowego i finansowego i zidentyfikowanie ewentualnych negatywnych zmian w sytuacji </w:t>
      </w:r>
      <w:proofErr w:type="spellStart"/>
      <w:r w:rsidRPr="00D478D7">
        <w:rPr>
          <w:rFonts w:cs="Calibri"/>
        </w:rPr>
        <w:t>społeczno</w:t>
      </w:r>
      <w:proofErr w:type="spellEnd"/>
      <w:r w:rsidRPr="00D478D7">
        <w:rPr>
          <w:rFonts w:cs="Calibri"/>
        </w:rPr>
        <w:t>–gospodarczej państwa, które mogą mieć wpływ na realizację programu.</w:t>
      </w:r>
    </w:p>
    <w:p w14:paraId="52139AA2" w14:textId="77777777" w:rsidR="00D478D7" w:rsidRDefault="00D478D7" w:rsidP="00D478D7">
      <w:pPr>
        <w:spacing w:after="160" w:line="360" w:lineRule="auto"/>
        <w:jc w:val="both"/>
        <w:rPr>
          <w:rFonts w:cs="Calibri"/>
        </w:rPr>
      </w:pPr>
      <w:r w:rsidRPr="00D478D7">
        <w:rPr>
          <w:rFonts w:cs="Calibri"/>
        </w:rPr>
        <w:t>Zmiany w programie FE SL 2021-2027, jakie region może zgłosić wraz z przeglądem śródokresowym powinny być uzasadnione wynikami tego przeglądu, a także powinny być podyktowane wyłącznie istotnymi uwarunkowaniami jak np. powód</w:t>
      </w:r>
      <w:r w:rsidR="005D34D4">
        <w:rPr>
          <w:rFonts w:cs="Calibri"/>
        </w:rPr>
        <w:t>ź, która miała miejsce we wrześniu 2024 roku.</w:t>
      </w:r>
      <w:r w:rsidR="00F05EDF">
        <w:rPr>
          <w:rFonts w:cs="Calibri"/>
        </w:rPr>
        <w:t xml:space="preserve"> </w:t>
      </w:r>
      <w:r w:rsidR="00DD6823">
        <w:rPr>
          <w:rFonts w:cs="Calibri"/>
        </w:rPr>
        <w:t xml:space="preserve">Wobec tego </w:t>
      </w:r>
      <w:r w:rsidR="00F05EDF">
        <w:rPr>
          <w:rFonts w:cs="Calibri"/>
        </w:rPr>
        <w:t xml:space="preserve">najważniejsze </w:t>
      </w:r>
      <w:r w:rsidR="00DD6823">
        <w:rPr>
          <w:rFonts w:cs="Calibri"/>
        </w:rPr>
        <w:t xml:space="preserve">zmiany polegają na utworzeniu priorytetu </w:t>
      </w:r>
      <w:r w:rsidR="00F05EDF">
        <w:rPr>
          <w:rFonts w:cs="Calibri"/>
        </w:rPr>
        <w:t>dotyczącego likwidacji skutków powodzi, usprawnieniu wdrażania programu w tym realizacji zasady n+2, n+3 poprzez zmiany finansowe oraz w ich konsekwencji zmia</w:t>
      </w:r>
      <w:r w:rsidR="005D34D4">
        <w:rPr>
          <w:rFonts w:cs="Calibri"/>
        </w:rPr>
        <w:t xml:space="preserve">ny </w:t>
      </w:r>
      <w:r w:rsidR="00F05EDF">
        <w:rPr>
          <w:rFonts w:cs="Calibri"/>
        </w:rPr>
        <w:t xml:space="preserve">wartości wskaźników a także </w:t>
      </w:r>
      <w:r w:rsidR="005D34D4">
        <w:rPr>
          <w:rFonts w:cs="Calibri"/>
        </w:rPr>
        <w:t xml:space="preserve">na </w:t>
      </w:r>
      <w:r w:rsidR="00F05EDF">
        <w:rPr>
          <w:rFonts w:cs="Calibri"/>
        </w:rPr>
        <w:t xml:space="preserve">umożliwieniu wsparcia elementów związanych z bezpieczeństwem i obronnością. </w:t>
      </w:r>
    </w:p>
    <w:p w14:paraId="55202499" w14:textId="77777777" w:rsidR="00D478D7" w:rsidRPr="00D478D7" w:rsidRDefault="00D478D7" w:rsidP="00D478D7">
      <w:pPr>
        <w:spacing w:after="160" w:line="360" w:lineRule="auto"/>
        <w:jc w:val="both"/>
        <w:rPr>
          <w:rFonts w:cs="Calibri"/>
        </w:rPr>
      </w:pPr>
      <w:r w:rsidRPr="00D478D7">
        <w:rPr>
          <w:rFonts w:cs="Calibri"/>
        </w:rPr>
        <w:t xml:space="preserve">W związku z powyższym konieczne jest </w:t>
      </w:r>
      <w:r>
        <w:rPr>
          <w:rFonts w:cs="Calibri"/>
        </w:rPr>
        <w:t>zatwierdzenie zmian FESL przez</w:t>
      </w:r>
      <w:r w:rsidRPr="00D478D7">
        <w:rPr>
          <w:rFonts w:cs="Calibri"/>
        </w:rPr>
        <w:t xml:space="preserve"> </w:t>
      </w:r>
      <w:r>
        <w:rPr>
          <w:rFonts w:cs="Calibri"/>
        </w:rPr>
        <w:t>Komitet</w:t>
      </w:r>
      <w:r w:rsidRPr="00D478D7">
        <w:rPr>
          <w:rFonts w:cs="Calibri"/>
        </w:rPr>
        <w:t xml:space="preserve"> </w:t>
      </w:r>
      <w:r>
        <w:rPr>
          <w:rFonts w:cs="Calibri"/>
        </w:rPr>
        <w:t>Monitorujący</w:t>
      </w:r>
      <w:r w:rsidRPr="00D478D7">
        <w:rPr>
          <w:rFonts w:cs="Calibri"/>
        </w:rPr>
        <w:t xml:space="preserve"> FESL 2021-2027 w celu dalszego procedowania z Komisją Europejską oraz Ministerstwem Funduszy i Polityki Regionalnej.</w:t>
      </w:r>
    </w:p>
    <w:p w14:paraId="4D28E310" w14:textId="77777777" w:rsidR="6D5A5328" w:rsidRDefault="6D5A5328" w:rsidP="001E266D">
      <w:pPr>
        <w:spacing w:after="160" w:line="360" w:lineRule="auto"/>
        <w:jc w:val="both"/>
        <w:rPr>
          <w:rFonts w:cs="Calibri"/>
        </w:rPr>
      </w:pPr>
    </w:p>
    <w:p w14:paraId="349BC2B7" w14:textId="77777777" w:rsidR="0033016E" w:rsidRPr="00E14AED" w:rsidRDefault="0033016E" w:rsidP="00CE3DA4">
      <w:pPr>
        <w:spacing w:after="160" w:line="240" w:lineRule="auto"/>
        <w:jc w:val="center"/>
        <w:rPr>
          <w:rFonts w:cs="Calibri"/>
        </w:rPr>
      </w:pPr>
    </w:p>
    <w:p w14:paraId="5689C184" w14:textId="77777777" w:rsidR="004913EF" w:rsidRPr="00E14AED" w:rsidRDefault="004913EF" w:rsidP="001E266D">
      <w:pPr>
        <w:spacing w:after="160" w:line="240" w:lineRule="auto"/>
        <w:jc w:val="both"/>
        <w:rPr>
          <w:rFonts w:cs="Calibri"/>
        </w:rPr>
      </w:pPr>
      <w:r>
        <w:br/>
      </w:r>
      <w:r>
        <w:br/>
      </w:r>
      <w:r>
        <w:br/>
      </w:r>
      <w:r>
        <w:br/>
      </w:r>
    </w:p>
    <w:sectPr w:rsidR="004913EF" w:rsidRPr="00E14AED" w:rsidSect="001E266D"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A3876" w14:textId="77777777" w:rsidR="00C70CEC" w:rsidRDefault="00C70CEC" w:rsidP="009029B5">
      <w:pPr>
        <w:spacing w:after="0" w:line="240" w:lineRule="auto"/>
      </w:pPr>
      <w:r>
        <w:separator/>
      </w:r>
    </w:p>
  </w:endnote>
  <w:endnote w:type="continuationSeparator" w:id="0">
    <w:p w14:paraId="24DA92AA" w14:textId="77777777" w:rsidR="00C70CEC" w:rsidRDefault="00C70CEC" w:rsidP="009029B5">
      <w:pPr>
        <w:spacing w:after="0" w:line="240" w:lineRule="auto"/>
      </w:pPr>
      <w:r>
        <w:continuationSeparator/>
      </w:r>
    </w:p>
  </w:endnote>
  <w:endnote w:type="continuationNotice" w:id="1">
    <w:p w14:paraId="61758306" w14:textId="77777777" w:rsidR="00C70CEC" w:rsidRDefault="00C70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DB581" w14:textId="77777777" w:rsidR="00C50DEE" w:rsidRDefault="00763178">
    <w:pPr>
      <w:pStyle w:val="Stopka"/>
      <w:jc w:val="right"/>
    </w:pPr>
    <w:r>
      <w:fldChar w:fldCharType="begin"/>
    </w:r>
    <w:r w:rsidR="00C50DEE">
      <w:instrText>PAGE   \* MERGEFORMAT</w:instrText>
    </w:r>
    <w:r>
      <w:fldChar w:fldCharType="separate"/>
    </w:r>
    <w:r w:rsidR="00B6458E">
      <w:rPr>
        <w:noProof/>
      </w:rPr>
      <w:t>7</w:t>
    </w:r>
    <w:r>
      <w:fldChar w:fldCharType="end"/>
    </w:r>
  </w:p>
  <w:p w14:paraId="35791086" w14:textId="77777777" w:rsidR="009E1472" w:rsidRDefault="009E14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43F9" w14:textId="77777777" w:rsidR="009E1472" w:rsidRDefault="009E1472">
    <w:pPr>
      <w:pStyle w:val="Stopka"/>
      <w:jc w:val="right"/>
    </w:pPr>
  </w:p>
  <w:p w14:paraId="36029B39" w14:textId="77777777" w:rsidR="009E1472" w:rsidRDefault="009E1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F54F4" w14:textId="77777777" w:rsidR="00C70CEC" w:rsidRDefault="00C70CEC" w:rsidP="009029B5">
      <w:pPr>
        <w:spacing w:after="0" w:line="240" w:lineRule="auto"/>
      </w:pPr>
      <w:r>
        <w:separator/>
      </w:r>
    </w:p>
  </w:footnote>
  <w:footnote w:type="continuationSeparator" w:id="0">
    <w:p w14:paraId="415CF9E8" w14:textId="77777777" w:rsidR="00C70CEC" w:rsidRDefault="00C70CEC" w:rsidP="009029B5">
      <w:pPr>
        <w:spacing w:after="0" w:line="240" w:lineRule="auto"/>
      </w:pPr>
      <w:r>
        <w:continuationSeparator/>
      </w:r>
    </w:p>
  </w:footnote>
  <w:footnote w:type="continuationNotice" w:id="1">
    <w:p w14:paraId="490E04CA" w14:textId="77777777" w:rsidR="00C70CEC" w:rsidRDefault="00C70C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B12F" w14:textId="77777777" w:rsidR="0073227E" w:rsidRDefault="0073227E" w:rsidP="00B507D0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DFB"/>
    <w:multiLevelType w:val="hybridMultilevel"/>
    <w:tmpl w:val="F7785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5393"/>
    <w:multiLevelType w:val="hybridMultilevel"/>
    <w:tmpl w:val="69EA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540C"/>
    <w:multiLevelType w:val="hybridMultilevel"/>
    <w:tmpl w:val="61429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81CC263"/>
    <w:multiLevelType w:val="hybridMultilevel"/>
    <w:tmpl w:val="35DEE884"/>
    <w:lvl w:ilvl="0" w:tplc="D71608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125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0E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05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AC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CA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EA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9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C0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47BA"/>
    <w:multiLevelType w:val="hybridMultilevel"/>
    <w:tmpl w:val="00F28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A73DC"/>
    <w:multiLevelType w:val="hybridMultilevel"/>
    <w:tmpl w:val="0BCE4D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7F791"/>
    <w:multiLevelType w:val="hybridMultilevel"/>
    <w:tmpl w:val="EA208666"/>
    <w:lvl w:ilvl="0" w:tplc="97F62EC4">
      <w:start w:val="1"/>
      <w:numFmt w:val="decimal"/>
      <w:lvlText w:val="%1."/>
      <w:lvlJc w:val="left"/>
      <w:pPr>
        <w:ind w:left="720" w:hanging="360"/>
      </w:pPr>
    </w:lvl>
    <w:lvl w:ilvl="1" w:tplc="78246F9C">
      <w:start w:val="1"/>
      <w:numFmt w:val="lowerLetter"/>
      <w:lvlText w:val="%2."/>
      <w:lvlJc w:val="left"/>
      <w:pPr>
        <w:ind w:left="1440" w:hanging="360"/>
      </w:pPr>
    </w:lvl>
    <w:lvl w:ilvl="2" w:tplc="37BCB668">
      <w:start w:val="1"/>
      <w:numFmt w:val="lowerRoman"/>
      <w:lvlText w:val="%3."/>
      <w:lvlJc w:val="right"/>
      <w:pPr>
        <w:ind w:left="2160" w:hanging="180"/>
      </w:pPr>
    </w:lvl>
    <w:lvl w:ilvl="3" w:tplc="2F2E4D98">
      <w:start w:val="1"/>
      <w:numFmt w:val="decimal"/>
      <w:lvlText w:val="%4."/>
      <w:lvlJc w:val="left"/>
      <w:pPr>
        <w:ind w:left="2880" w:hanging="360"/>
      </w:pPr>
    </w:lvl>
    <w:lvl w:ilvl="4" w:tplc="485C6462">
      <w:start w:val="1"/>
      <w:numFmt w:val="lowerLetter"/>
      <w:lvlText w:val="%5."/>
      <w:lvlJc w:val="left"/>
      <w:pPr>
        <w:ind w:left="3600" w:hanging="360"/>
      </w:pPr>
    </w:lvl>
    <w:lvl w:ilvl="5" w:tplc="8B8C1AD6">
      <w:start w:val="1"/>
      <w:numFmt w:val="lowerRoman"/>
      <w:lvlText w:val="%6."/>
      <w:lvlJc w:val="right"/>
      <w:pPr>
        <w:ind w:left="4320" w:hanging="180"/>
      </w:pPr>
    </w:lvl>
    <w:lvl w:ilvl="6" w:tplc="0152F124">
      <w:start w:val="1"/>
      <w:numFmt w:val="decimal"/>
      <w:lvlText w:val="%7."/>
      <w:lvlJc w:val="left"/>
      <w:pPr>
        <w:ind w:left="5040" w:hanging="360"/>
      </w:pPr>
    </w:lvl>
    <w:lvl w:ilvl="7" w:tplc="76E6C05E">
      <w:start w:val="1"/>
      <w:numFmt w:val="lowerLetter"/>
      <w:lvlText w:val="%8."/>
      <w:lvlJc w:val="left"/>
      <w:pPr>
        <w:ind w:left="5760" w:hanging="360"/>
      </w:pPr>
    </w:lvl>
    <w:lvl w:ilvl="8" w:tplc="6026E9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65853"/>
    <w:multiLevelType w:val="hybridMultilevel"/>
    <w:tmpl w:val="726CFBB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3B1ACA"/>
    <w:multiLevelType w:val="hybridMultilevel"/>
    <w:tmpl w:val="1A6C0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7495E"/>
    <w:multiLevelType w:val="multilevel"/>
    <w:tmpl w:val="C266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70F50"/>
    <w:multiLevelType w:val="hybridMultilevel"/>
    <w:tmpl w:val="9F0A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928E6"/>
    <w:multiLevelType w:val="hybridMultilevel"/>
    <w:tmpl w:val="CD220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B0306"/>
    <w:multiLevelType w:val="multilevel"/>
    <w:tmpl w:val="1C14A7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A053DF9"/>
    <w:multiLevelType w:val="hybridMultilevel"/>
    <w:tmpl w:val="0658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55936"/>
    <w:multiLevelType w:val="hybridMultilevel"/>
    <w:tmpl w:val="25EE6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33141"/>
    <w:multiLevelType w:val="hybridMultilevel"/>
    <w:tmpl w:val="A4CEDA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F40D7"/>
    <w:multiLevelType w:val="hybridMultilevel"/>
    <w:tmpl w:val="58E8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8"/>
  </w:num>
  <w:num w:numId="5">
    <w:abstractNumId w:val="4"/>
  </w:num>
  <w:num w:numId="6">
    <w:abstractNumId w:val="6"/>
  </w:num>
  <w:num w:numId="7">
    <w:abstractNumId w:val="14"/>
  </w:num>
  <w:num w:numId="8">
    <w:abstractNumId w:val="20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7"/>
  </w:num>
  <w:num w:numId="13">
    <w:abstractNumId w:val="12"/>
  </w:num>
  <w:num w:numId="14">
    <w:abstractNumId w:val="16"/>
  </w:num>
  <w:num w:numId="15">
    <w:abstractNumId w:val="3"/>
  </w:num>
  <w:num w:numId="16">
    <w:abstractNumId w:val="21"/>
  </w:num>
  <w:num w:numId="17">
    <w:abstractNumId w:val="15"/>
  </w:num>
  <w:num w:numId="18">
    <w:abstractNumId w:val="22"/>
  </w:num>
  <w:num w:numId="19">
    <w:abstractNumId w:val="7"/>
  </w:num>
  <w:num w:numId="20">
    <w:abstractNumId w:val="2"/>
  </w:num>
  <w:num w:numId="21">
    <w:abstractNumId w:val="23"/>
  </w:num>
  <w:num w:numId="22">
    <w:abstractNumId w:val="0"/>
  </w:num>
  <w:num w:numId="23">
    <w:abstractNumId w:val="11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B5"/>
    <w:rsid w:val="0000136D"/>
    <w:rsid w:val="00003D2B"/>
    <w:rsid w:val="00003E63"/>
    <w:rsid w:val="00017A13"/>
    <w:rsid w:val="000306E0"/>
    <w:rsid w:val="000346F3"/>
    <w:rsid w:val="00036C16"/>
    <w:rsid w:val="00074702"/>
    <w:rsid w:val="00080D07"/>
    <w:rsid w:val="00083CFF"/>
    <w:rsid w:val="00097233"/>
    <w:rsid w:val="00097927"/>
    <w:rsid w:val="000A4537"/>
    <w:rsid w:val="000A5D63"/>
    <w:rsid w:val="000B25C4"/>
    <w:rsid w:val="000C1029"/>
    <w:rsid w:val="000C3026"/>
    <w:rsid w:val="000D3488"/>
    <w:rsid w:val="000D792B"/>
    <w:rsid w:val="000E4F7E"/>
    <w:rsid w:val="000E6816"/>
    <w:rsid w:val="001248B2"/>
    <w:rsid w:val="00124C34"/>
    <w:rsid w:val="001406FC"/>
    <w:rsid w:val="001459CF"/>
    <w:rsid w:val="00146CE8"/>
    <w:rsid w:val="00147C8A"/>
    <w:rsid w:val="00151848"/>
    <w:rsid w:val="00151CA3"/>
    <w:rsid w:val="00171148"/>
    <w:rsid w:val="0017267B"/>
    <w:rsid w:val="001733CD"/>
    <w:rsid w:val="001936C4"/>
    <w:rsid w:val="00193C9A"/>
    <w:rsid w:val="001A6CAD"/>
    <w:rsid w:val="001B1D22"/>
    <w:rsid w:val="001C2C0B"/>
    <w:rsid w:val="001C4882"/>
    <w:rsid w:val="001D5F46"/>
    <w:rsid w:val="001E13CA"/>
    <w:rsid w:val="001E16F4"/>
    <w:rsid w:val="001E266D"/>
    <w:rsid w:val="001E5EA2"/>
    <w:rsid w:val="001E7D8C"/>
    <w:rsid w:val="00210459"/>
    <w:rsid w:val="00214B3F"/>
    <w:rsid w:val="00230BF2"/>
    <w:rsid w:val="00237EA3"/>
    <w:rsid w:val="0024016E"/>
    <w:rsid w:val="00245E75"/>
    <w:rsid w:val="00251BCB"/>
    <w:rsid w:val="0027190D"/>
    <w:rsid w:val="00272715"/>
    <w:rsid w:val="0028217D"/>
    <w:rsid w:val="002860B0"/>
    <w:rsid w:val="00297836"/>
    <w:rsid w:val="002B1608"/>
    <w:rsid w:val="002B6F16"/>
    <w:rsid w:val="002D0D40"/>
    <w:rsid w:val="002D2565"/>
    <w:rsid w:val="002F4765"/>
    <w:rsid w:val="00320A59"/>
    <w:rsid w:val="00321093"/>
    <w:rsid w:val="0033016E"/>
    <w:rsid w:val="00331E15"/>
    <w:rsid w:val="00356851"/>
    <w:rsid w:val="003572EF"/>
    <w:rsid w:val="003575D1"/>
    <w:rsid w:val="003612A3"/>
    <w:rsid w:val="00377FCA"/>
    <w:rsid w:val="00381A46"/>
    <w:rsid w:val="0038262A"/>
    <w:rsid w:val="0039009C"/>
    <w:rsid w:val="003A484B"/>
    <w:rsid w:val="003C0F43"/>
    <w:rsid w:val="003C4E5C"/>
    <w:rsid w:val="003C6C4F"/>
    <w:rsid w:val="003F7BD4"/>
    <w:rsid w:val="00410E78"/>
    <w:rsid w:val="0042110B"/>
    <w:rsid w:val="00434140"/>
    <w:rsid w:val="00434DE5"/>
    <w:rsid w:val="00446670"/>
    <w:rsid w:val="00447FED"/>
    <w:rsid w:val="00451A2E"/>
    <w:rsid w:val="0045359F"/>
    <w:rsid w:val="00453A42"/>
    <w:rsid w:val="00467276"/>
    <w:rsid w:val="004717FF"/>
    <w:rsid w:val="004825F2"/>
    <w:rsid w:val="004913EF"/>
    <w:rsid w:val="004B0B4A"/>
    <w:rsid w:val="004B3422"/>
    <w:rsid w:val="004D43B2"/>
    <w:rsid w:val="004D70C0"/>
    <w:rsid w:val="005131CC"/>
    <w:rsid w:val="00536099"/>
    <w:rsid w:val="00541F46"/>
    <w:rsid w:val="00543BDD"/>
    <w:rsid w:val="00553963"/>
    <w:rsid w:val="005579E9"/>
    <w:rsid w:val="00560F63"/>
    <w:rsid w:val="00587ABA"/>
    <w:rsid w:val="00595262"/>
    <w:rsid w:val="005B688B"/>
    <w:rsid w:val="005B6B3C"/>
    <w:rsid w:val="005C72FB"/>
    <w:rsid w:val="005D34D4"/>
    <w:rsid w:val="005D679B"/>
    <w:rsid w:val="005E0649"/>
    <w:rsid w:val="005E1BAF"/>
    <w:rsid w:val="005E3ED2"/>
    <w:rsid w:val="00602D1C"/>
    <w:rsid w:val="00620E50"/>
    <w:rsid w:val="00621D01"/>
    <w:rsid w:val="006221D3"/>
    <w:rsid w:val="006260ED"/>
    <w:rsid w:val="006365E8"/>
    <w:rsid w:val="006449E9"/>
    <w:rsid w:val="00651591"/>
    <w:rsid w:val="0066531A"/>
    <w:rsid w:val="006659CF"/>
    <w:rsid w:val="00684351"/>
    <w:rsid w:val="006A0E97"/>
    <w:rsid w:val="006C1D3A"/>
    <w:rsid w:val="006C4F29"/>
    <w:rsid w:val="006E7D95"/>
    <w:rsid w:val="00701FE5"/>
    <w:rsid w:val="0070511B"/>
    <w:rsid w:val="0071E7F1"/>
    <w:rsid w:val="00727B1F"/>
    <w:rsid w:val="0073227E"/>
    <w:rsid w:val="00741952"/>
    <w:rsid w:val="00745188"/>
    <w:rsid w:val="00747D54"/>
    <w:rsid w:val="0075562F"/>
    <w:rsid w:val="00763178"/>
    <w:rsid w:val="00765F06"/>
    <w:rsid w:val="00767F9C"/>
    <w:rsid w:val="00770A68"/>
    <w:rsid w:val="00782503"/>
    <w:rsid w:val="007A5B65"/>
    <w:rsid w:val="007A736C"/>
    <w:rsid w:val="007D18E0"/>
    <w:rsid w:val="007F4071"/>
    <w:rsid w:val="007F52F1"/>
    <w:rsid w:val="007F5F09"/>
    <w:rsid w:val="0081121A"/>
    <w:rsid w:val="008351E3"/>
    <w:rsid w:val="008377E0"/>
    <w:rsid w:val="00851D1D"/>
    <w:rsid w:val="00860E3A"/>
    <w:rsid w:val="0086798A"/>
    <w:rsid w:val="0087417C"/>
    <w:rsid w:val="00890075"/>
    <w:rsid w:val="008912F9"/>
    <w:rsid w:val="008B4987"/>
    <w:rsid w:val="008B5AC0"/>
    <w:rsid w:val="008C5123"/>
    <w:rsid w:val="008E0C3B"/>
    <w:rsid w:val="008E270D"/>
    <w:rsid w:val="009003E7"/>
    <w:rsid w:val="009021BE"/>
    <w:rsid w:val="009029B5"/>
    <w:rsid w:val="00916155"/>
    <w:rsid w:val="009319F1"/>
    <w:rsid w:val="00937D39"/>
    <w:rsid w:val="0094050D"/>
    <w:rsid w:val="00955ECA"/>
    <w:rsid w:val="00957540"/>
    <w:rsid w:val="009621EB"/>
    <w:rsid w:val="00963096"/>
    <w:rsid w:val="00964B99"/>
    <w:rsid w:val="0098280D"/>
    <w:rsid w:val="00984C69"/>
    <w:rsid w:val="00987D12"/>
    <w:rsid w:val="0099054F"/>
    <w:rsid w:val="00995F5C"/>
    <w:rsid w:val="009A79F3"/>
    <w:rsid w:val="009C732E"/>
    <w:rsid w:val="009D28F3"/>
    <w:rsid w:val="009D691F"/>
    <w:rsid w:val="009E1472"/>
    <w:rsid w:val="009E48A1"/>
    <w:rsid w:val="00A0793C"/>
    <w:rsid w:val="00A35489"/>
    <w:rsid w:val="00A51DDE"/>
    <w:rsid w:val="00A5300B"/>
    <w:rsid w:val="00A6025E"/>
    <w:rsid w:val="00A608E2"/>
    <w:rsid w:val="00A74035"/>
    <w:rsid w:val="00A936D2"/>
    <w:rsid w:val="00AA3728"/>
    <w:rsid w:val="00AA43FF"/>
    <w:rsid w:val="00AB0B50"/>
    <w:rsid w:val="00AB0DF5"/>
    <w:rsid w:val="00AB1497"/>
    <w:rsid w:val="00AB6496"/>
    <w:rsid w:val="00AC3D23"/>
    <w:rsid w:val="00AC696F"/>
    <w:rsid w:val="00AD3D72"/>
    <w:rsid w:val="00AE19EF"/>
    <w:rsid w:val="00B006BD"/>
    <w:rsid w:val="00B106B1"/>
    <w:rsid w:val="00B1537A"/>
    <w:rsid w:val="00B154B0"/>
    <w:rsid w:val="00B1689D"/>
    <w:rsid w:val="00B2200B"/>
    <w:rsid w:val="00B23261"/>
    <w:rsid w:val="00B43BA6"/>
    <w:rsid w:val="00B507D0"/>
    <w:rsid w:val="00B51B92"/>
    <w:rsid w:val="00B5658E"/>
    <w:rsid w:val="00B6458E"/>
    <w:rsid w:val="00B83529"/>
    <w:rsid w:val="00B83694"/>
    <w:rsid w:val="00B850B6"/>
    <w:rsid w:val="00B86D39"/>
    <w:rsid w:val="00B96647"/>
    <w:rsid w:val="00B96B85"/>
    <w:rsid w:val="00BA441B"/>
    <w:rsid w:val="00BA6589"/>
    <w:rsid w:val="00BB2FE9"/>
    <w:rsid w:val="00BD5BDD"/>
    <w:rsid w:val="00BE5FA7"/>
    <w:rsid w:val="00BF0791"/>
    <w:rsid w:val="00BF34FE"/>
    <w:rsid w:val="00BF784A"/>
    <w:rsid w:val="00C05990"/>
    <w:rsid w:val="00C25161"/>
    <w:rsid w:val="00C2517A"/>
    <w:rsid w:val="00C3046C"/>
    <w:rsid w:val="00C401E0"/>
    <w:rsid w:val="00C47B84"/>
    <w:rsid w:val="00C50DEE"/>
    <w:rsid w:val="00C53C1C"/>
    <w:rsid w:val="00C55D09"/>
    <w:rsid w:val="00C659F1"/>
    <w:rsid w:val="00C67E86"/>
    <w:rsid w:val="00C70CEC"/>
    <w:rsid w:val="00C72576"/>
    <w:rsid w:val="00C80623"/>
    <w:rsid w:val="00C96421"/>
    <w:rsid w:val="00CA54B6"/>
    <w:rsid w:val="00CA7031"/>
    <w:rsid w:val="00CB5C64"/>
    <w:rsid w:val="00CC38EA"/>
    <w:rsid w:val="00CD7529"/>
    <w:rsid w:val="00CE0791"/>
    <w:rsid w:val="00CE3DA4"/>
    <w:rsid w:val="00CF3F38"/>
    <w:rsid w:val="00D00E8B"/>
    <w:rsid w:val="00D0340B"/>
    <w:rsid w:val="00D0393E"/>
    <w:rsid w:val="00D07AE9"/>
    <w:rsid w:val="00D14059"/>
    <w:rsid w:val="00D15120"/>
    <w:rsid w:val="00D230B8"/>
    <w:rsid w:val="00D25B79"/>
    <w:rsid w:val="00D25F91"/>
    <w:rsid w:val="00D27C5F"/>
    <w:rsid w:val="00D478D7"/>
    <w:rsid w:val="00D541F8"/>
    <w:rsid w:val="00D612B0"/>
    <w:rsid w:val="00D62899"/>
    <w:rsid w:val="00D71A01"/>
    <w:rsid w:val="00D76580"/>
    <w:rsid w:val="00D83DB6"/>
    <w:rsid w:val="00D84F8F"/>
    <w:rsid w:val="00D90C8D"/>
    <w:rsid w:val="00D90FD2"/>
    <w:rsid w:val="00D9741F"/>
    <w:rsid w:val="00DC33D0"/>
    <w:rsid w:val="00DC378D"/>
    <w:rsid w:val="00DC7557"/>
    <w:rsid w:val="00DD0FE6"/>
    <w:rsid w:val="00DD6823"/>
    <w:rsid w:val="00DF7970"/>
    <w:rsid w:val="00E01073"/>
    <w:rsid w:val="00E0452E"/>
    <w:rsid w:val="00E12C52"/>
    <w:rsid w:val="00E14AED"/>
    <w:rsid w:val="00E173E5"/>
    <w:rsid w:val="00E17A93"/>
    <w:rsid w:val="00E26151"/>
    <w:rsid w:val="00E31695"/>
    <w:rsid w:val="00E35CBF"/>
    <w:rsid w:val="00E44D9F"/>
    <w:rsid w:val="00E6700A"/>
    <w:rsid w:val="00E8474C"/>
    <w:rsid w:val="00E94679"/>
    <w:rsid w:val="00EA1E39"/>
    <w:rsid w:val="00EB2F36"/>
    <w:rsid w:val="00EB38B7"/>
    <w:rsid w:val="00EC0D92"/>
    <w:rsid w:val="00EC3728"/>
    <w:rsid w:val="00EC45A4"/>
    <w:rsid w:val="00EE2D3D"/>
    <w:rsid w:val="00EF41FE"/>
    <w:rsid w:val="00F04121"/>
    <w:rsid w:val="00F05AAD"/>
    <w:rsid w:val="00F05EDF"/>
    <w:rsid w:val="00F12412"/>
    <w:rsid w:val="00F147FE"/>
    <w:rsid w:val="00F20D92"/>
    <w:rsid w:val="00F21C74"/>
    <w:rsid w:val="00F27980"/>
    <w:rsid w:val="00F326BF"/>
    <w:rsid w:val="00F439E1"/>
    <w:rsid w:val="00F44112"/>
    <w:rsid w:val="00F4463C"/>
    <w:rsid w:val="00F5772A"/>
    <w:rsid w:val="00F64EBA"/>
    <w:rsid w:val="00F73469"/>
    <w:rsid w:val="00F76CB6"/>
    <w:rsid w:val="00F771B2"/>
    <w:rsid w:val="00F820FA"/>
    <w:rsid w:val="00F95F84"/>
    <w:rsid w:val="00FA14B2"/>
    <w:rsid w:val="00FA351A"/>
    <w:rsid w:val="00FB02F4"/>
    <w:rsid w:val="00FB09AF"/>
    <w:rsid w:val="00FB3ECC"/>
    <w:rsid w:val="00FC3CD1"/>
    <w:rsid w:val="00FE2E59"/>
    <w:rsid w:val="00FE49FE"/>
    <w:rsid w:val="00FF4DAC"/>
    <w:rsid w:val="020D6E0C"/>
    <w:rsid w:val="038D81C5"/>
    <w:rsid w:val="03CDD702"/>
    <w:rsid w:val="083F2EC9"/>
    <w:rsid w:val="0A1CDC12"/>
    <w:rsid w:val="0A26344C"/>
    <w:rsid w:val="0A75295E"/>
    <w:rsid w:val="0AA46C10"/>
    <w:rsid w:val="0BB8AC73"/>
    <w:rsid w:val="0D2870D9"/>
    <w:rsid w:val="11B02C77"/>
    <w:rsid w:val="12A18EFA"/>
    <w:rsid w:val="18F33921"/>
    <w:rsid w:val="1B0D9A72"/>
    <w:rsid w:val="1BBD9566"/>
    <w:rsid w:val="1D717D70"/>
    <w:rsid w:val="2150CFFB"/>
    <w:rsid w:val="256477AC"/>
    <w:rsid w:val="256E5F35"/>
    <w:rsid w:val="2C82007A"/>
    <w:rsid w:val="2FDBB107"/>
    <w:rsid w:val="325E7280"/>
    <w:rsid w:val="34EE07DB"/>
    <w:rsid w:val="3788A783"/>
    <w:rsid w:val="398CD6CE"/>
    <w:rsid w:val="3C829B7D"/>
    <w:rsid w:val="3CDD9FED"/>
    <w:rsid w:val="3FFC1852"/>
    <w:rsid w:val="42425E99"/>
    <w:rsid w:val="42EFBDF7"/>
    <w:rsid w:val="436AC398"/>
    <w:rsid w:val="43DE2EFA"/>
    <w:rsid w:val="46E52943"/>
    <w:rsid w:val="475A6204"/>
    <w:rsid w:val="47DF276D"/>
    <w:rsid w:val="4971B966"/>
    <w:rsid w:val="4C19262E"/>
    <w:rsid w:val="4EE0590D"/>
    <w:rsid w:val="4F71CDC0"/>
    <w:rsid w:val="5107814F"/>
    <w:rsid w:val="55FF3FDF"/>
    <w:rsid w:val="59D33D06"/>
    <w:rsid w:val="5D9F4DBF"/>
    <w:rsid w:val="5FB3B66D"/>
    <w:rsid w:val="5FBE8CEA"/>
    <w:rsid w:val="620FE5CC"/>
    <w:rsid w:val="679AB18E"/>
    <w:rsid w:val="6865FEF3"/>
    <w:rsid w:val="6A3A532D"/>
    <w:rsid w:val="6D5A5328"/>
    <w:rsid w:val="6D7F031B"/>
    <w:rsid w:val="6E93E0F0"/>
    <w:rsid w:val="6F694440"/>
    <w:rsid w:val="70F4FFD1"/>
    <w:rsid w:val="71F40192"/>
    <w:rsid w:val="721F79DD"/>
    <w:rsid w:val="72634777"/>
    <w:rsid w:val="728EEE37"/>
    <w:rsid w:val="729572E5"/>
    <w:rsid w:val="73675213"/>
    <w:rsid w:val="75032274"/>
    <w:rsid w:val="77012E47"/>
    <w:rsid w:val="7801DE1F"/>
    <w:rsid w:val="78841043"/>
    <w:rsid w:val="7995A589"/>
    <w:rsid w:val="7AF063A0"/>
    <w:rsid w:val="7ED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6CD87"/>
  <w15:chartTrackingRefBased/>
  <w15:docId w15:val="{DC0DE535-E674-4766-B72A-74B81C4F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B850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B850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B850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B850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B850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227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96B85"/>
    <w:pPr>
      <w:spacing w:after="0" w:line="240" w:lineRule="auto"/>
    </w:pPr>
    <w:rPr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B96B85"/>
    <w:rPr>
      <w:sz w:val="22"/>
      <w:szCs w:val="21"/>
      <w:lang w:val="x-none" w:eastAsia="en-US"/>
    </w:rPr>
  </w:style>
  <w:style w:type="character" w:styleId="Odwoaniedokomentarza">
    <w:name w:val="annotation reference"/>
    <w:uiPriority w:val="99"/>
    <w:semiHidden/>
    <w:unhideWhenUsed/>
    <w:rsid w:val="004D43B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3B2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D43B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paragraph">
    <w:name w:val="paragraph"/>
    <w:basedOn w:val="Normalny"/>
    <w:rsid w:val="00636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6365E8"/>
  </w:style>
  <w:style w:type="character" w:customStyle="1" w:styleId="eop">
    <w:name w:val="eop"/>
    <w:rsid w:val="0063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e6621f2ca8b3a00dd2865e040a82296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c9386e0559b24f8a9e663f983c52e14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785A4-824A-4FA5-8DAE-7E5585F93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DF43C-0467-41AB-987F-200DCAC6F5F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ED5888C2-4C8F-40A8-97D7-C84B88B13E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6678DA-A9F9-48DC-AD6F-3A185D93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Woźniak Anna</dc:creator>
  <cp:keywords/>
  <cp:lastModifiedBy>Zientara Martyna</cp:lastModifiedBy>
  <cp:revision>11</cp:revision>
  <cp:lastPrinted>2015-09-24T19:46:00Z</cp:lastPrinted>
  <dcterms:created xsi:type="dcterms:W3CDTF">2024-02-05T10:33:00Z</dcterms:created>
  <dcterms:modified xsi:type="dcterms:W3CDTF">2025-02-11T11:15:00Z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