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2A3968DD"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590F72" w:rsidRPr="00590F72">
        <w:t>FESL.14.01-IZ.01-332/26</w:t>
      </w:r>
    </w:p>
    <w:p w14:paraId="3F95B740" w14:textId="6DA3E8DD" w:rsidR="00590F72" w:rsidRDefault="00E72D9B" w:rsidP="00A501A3">
      <w:pPr>
        <w:pStyle w:val="Podtytu"/>
      </w:pPr>
      <w:r w:rsidRPr="00060FF5">
        <w:t>PRIORYTET</w:t>
      </w:r>
      <w:r w:rsidR="0070031B" w:rsidRPr="00060FF5">
        <w:t xml:space="preserve"> </w:t>
      </w:r>
      <w:r w:rsidR="00590F72">
        <w:t>XIV</w:t>
      </w:r>
      <w:r w:rsidR="00845E5E" w:rsidRPr="00060FF5">
        <w:t xml:space="preserve"> </w:t>
      </w:r>
      <w:r w:rsidR="00590F72" w:rsidRPr="00590F72">
        <w:t xml:space="preserve">Fundusze Europejskie na odbudowę regionu </w:t>
      </w:r>
      <w:r w:rsidR="00590F72">
        <w:br/>
      </w:r>
      <w:r w:rsidR="00590F72" w:rsidRPr="00590F72">
        <w:t>po klęskach żywiołowych</w:t>
      </w:r>
    </w:p>
    <w:p w14:paraId="093D644D" w14:textId="1899DEAC" w:rsidR="00E72D9B" w:rsidRPr="00A501A3" w:rsidRDefault="00E72D9B" w:rsidP="00A501A3">
      <w:pPr>
        <w:pStyle w:val="Podtytu"/>
      </w:pPr>
      <w:r w:rsidRPr="00523F05">
        <w:t xml:space="preserve">DZIAŁANIE </w:t>
      </w:r>
      <w:r w:rsidR="00590F72" w:rsidRPr="00590F72">
        <w:t>14.01 Odbudowa dróg lokalnych</w:t>
      </w:r>
    </w:p>
    <w:p w14:paraId="133D97BF" w14:textId="0FCCBA03" w:rsidR="002170AE" w:rsidRDefault="002C6914"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br/>
      </w:r>
      <w:r w:rsidR="0070031B" w:rsidRPr="5EC7A306">
        <w:t>Katowice</w:t>
      </w:r>
      <w:r w:rsidR="00E72D9B" w:rsidRPr="5EC7A306">
        <w:t>,</w:t>
      </w:r>
      <w:r w:rsidR="0048181B" w:rsidRPr="5EC7A306">
        <w:t xml:space="preserve"> </w:t>
      </w:r>
      <w:r w:rsidR="0024592C">
        <w:t>kwiecień</w:t>
      </w:r>
      <w:r w:rsidR="00F73D24">
        <w:t xml:space="preserve"> 202</w:t>
      </w:r>
      <w:r w:rsidR="000A6E39">
        <w:t>6</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497336AC"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D6593C">
              <w:rPr>
                <w:noProof/>
                <w:webHidden/>
              </w:rPr>
              <w:t>4</w:t>
            </w:r>
            <w:r w:rsidR="00564864">
              <w:rPr>
                <w:noProof/>
                <w:webHidden/>
              </w:rPr>
              <w:fldChar w:fldCharType="end"/>
            </w:r>
          </w:hyperlink>
        </w:p>
        <w:p w14:paraId="279D1498" w14:textId="4A484A0A" w:rsidR="00564864" w:rsidRDefault="0024592C">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D6593C">
              <w:rPr>
                <w:noProof/>
                <w:webHidden/>
              </w:rPr>
              <w:t>5</w:t>
            </w:r>
            <w:r w:rsidR="00564864">
              <w:rPr>
                <w:noProof/>
                <w:webHidden/>
              </w:rPr>
              <w:fldChar w:fldCharType="end"/>
            </w:r>
          </w:hyperlink>
        </w:p>
        <w:p w14:paraId="502BD64C" w14:textId="25D4E1D6" w:rsidR="00564864" w:rsidRDefault="0024592C">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D6593C">
              <w:rPr>
                <w:noProof/>
                <w:webHidden/>
              </w:rPr>
              <w:t>9</w:t>
            </w:r>
            <w:r w:rsidR="00564864">
              <w:rPr>
                <w:noProof/>
                <w:webHidden/>
              </w:rPr>
              <w:fldChar w:fldCharType="end"/>
            </w:r>
          </w:hyperlink>
        </w:p>
        <w:p w14:paraId="3CC8FB99" w14:textId="3F1B5F7E"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D6593C">
              <w:rPr>
                <w:noProof/>
                <w:webHidden/>
              </w:rPr>
              <w:t>9</w:t>
            </w:r>
            <w:r w:rsidR="00564864">
              <w:rPr>
                <w:noProof/>
                <w:webHidden/>
              </w:rPr>
              <w:fldChar w:fldCharType="end"/>
            </w:r>
          </w:hyperlink>
        </w:p>
        <w:p w14:paraId="0568FC32" w14:textId="4BAEA042"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D6593C">
              <w:rPr>
                <w:noProof/>
                <w:webHidden/>
              </w:rPr>
              <w:t>10</w:t>
            </w:r>
            <w:r w:rsidR="00564864">
              <w:rPr>
                <w:noProof/>
                <w:webHidden/>
              </w:rPr>
              <w:fldChar w:fldCharType="end"/>
            </w:r>
          </w:hyperlink>
        </w:p>
        <w:p w14:paraId="279FB4F3" w14:textId="6F62237B"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D6593C">
              <w:rPr>
                <w:noProof/>
                <w:webHidden/>
              </w:rPr>
              <w:t>11</w:t>
            </w:r>
            <w:r w:rsidR="00564864">
              <w:rPr>
                <w:noProof/>
                <w:webHidden/>
              </w:rPr>
              <w:fldChar w:fldCharType="end"/>
            </w:r>
          </w:hyperlink>
        </w:p>
        <w:p w14:paraId="34ED9D41" w14:textId="12F6108D"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D6593C">
              <w:rPr>
                <w:noProof/>
                <w:webHidden/>
              </w:rPr>
              <w:t>11</w:t>
            </w:r>
            <w:r w:rsidR="00564864">
              <w:rPr>
                <w:noProof/>
                <w:webHidden/>
              </w:rPr>
              <w:fldChar w:fldCharType="end"/>
            </w:r>
          </w:hyperlink>
        </w:p>
        <w:p w14:paraId="1AB68B53" w14:textId="5FF022A4"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D6593C">
              <w:rPr>
                <w:noProof/>
                <w:webHidden/>
              </w:rPr>
              <w:t>12</w:t>
            </w:r>
            <w:r w:rsidR="00564864">
              <w:rPr>
                <w:noProof/>
                <w:webHidden/>
              </w:rPr>
              <w:fldChar w:fldCharType="end"/>
            </w:r>
          </w:hyperlink>
        </w:p>
        <w:p w14:paraId="680BB848" w14:textId="002E3AD3"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D6593C">
              <w:rPr>
                <w:noProof/>
                <w:webHidden/>
              </w:rPr>
              <w:t>16</w:t>
            </w:r>
            <w:r w:rsidR="00564864">
              <w:rPr>
                <w:noProof/>
                <w:webHidden/>
              </w:rPr>
              <w:fldChar w:fldCharType="end"/>
            </w:r>
          </w:hyperlink>
        </w:p>
        <w:p w14:paraId="24A986C9" w14:textId="7CF02CDF"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D6593C">
              <w:rPr>
                <w:noProof/>
                <w:webHidden/>
              </w:rPr>
              <w:t>16</w:t>
            </w:r>
            <w:r w:rsidR="00564864">
              <w:rPr>
                <w:noProof/>
                <w:webHidden/>
              </w:rPr>
              <w:fldChar w:fldCharType="end"/>
            </w:r>
          </w:hyperlink>
        </w:p>
        <w:p w14:paraId="16A4A4B0" w14:textId="3BA05C7B"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D6593C">
              <w:rPr>
                <w:noProof/>
                <w:webHidden/>
              </w:rPr>
              <w:t>17</w:t>
            </w:r>
            <w:r w:rsidR="00564864">
              <w:rPr>
                <w:noProof/>
                <w:webHidden/>
              </w:rPr>
              <w:fldChar w:fldCharType="end"/>
            </w:r>
          </w:hyperlink>
        </w:p>
        <w:p w14:paraId="454EBB58" w14:textId="500E27DB" w:rsidR="00564864" w:rsidRDefault="0024592C">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D6593C">
              <w:rPr>
                <w:noProof/>
                <w:webHidden/>
              </w:rPr>
              <w:t>18</w:t>
            </w:r>
            <w:r w:rsidR="00564864">
              <w:rPr>
                <w:noProof/>
                <w:webHidden/>
              </w:rPr>
              <w:fldChar w:fldCharType="end"/>
            </w:r>
          </w:hyperlink>
        </w:p>
        <w:p w14:paraId="7875FCC7" w14:textId="45E184B7"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D6593C">
              <w:rPr>
                <w:noProof/>
                <w:webHidden/>
              </w:rPr>
              <w:t>18</w:t>
            </w:r>
            <w:r w:rsidR="00564864">
              <w:rPr>
                <w:noProof/>
                <w:webHidden/>
              </w:rPr>
              <w:fldChar w:fldCharType="end"/>
            </w:r>
          </w:hyperlink>
        </w:p>
        <w:p w14:paraId="616F4804" w14:textId="36A59F08"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D6593C">
              <w:rPr>
                <w:noProof/>
                <w:webHidden/>
              </w:rPr>
              <w:t>20</w:t>
            </w:r>
            <w:r w:rsidR="00564864">
              <w:rPr>
                <w:noProof/>
                <w:webHidden/>
              </w:rPr>
              <w:fldChar w:fldCharType="end"/>
            </w:r>
          </w:hyperlink>
        </w:p>
        <w:p w14:paraId="052AA6AF" w14:textId="15D98423"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D6593C">
              <w:rPr>
                <w:noProof/>
                <w:webHidden/>
              </w:rPr>
              <w:t>20</w:t>
            </w:r>
            <w:r w:rsidR="00564864">
              <w:rPr>
                <w:noProof/>
                <w:webHidden/>
              </w:rPr>
              <w:fldChar w:fldCharType="end"/>
            </w:r>
          </w:hyperlink>
        </w:p>
        <w:p w14:paraId="50494A42" w14:textId="5BF455C8" w:rsidR="00564864" w:rsidRDefault="0024592C">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D6593C">
              <w:rPr>
                <w:noProof/>
                <w:webHidden/>
              </w:rPr>
              <w:t>21</w:t>
            </w:r>
            <w:r w:rsidR="00564864">
              <w:rPr>
                <w:noProof/>
                <w:webHidden/>
              </w:rPr>
              <w:fldChar w:fldCharType="end"/>
            </w:r>
          </w:hyperlink>
        </w:p>
        <w:p w14:paraId="26B2B925" w14:textId="5F7746BA"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D6593C">
              <w:rPr>
                <w:noProof/>
                <w:webHidden/>
              </w:rPr>
              <w:t>21</w:t>
            </w:r>
            <w:r w:rsidR="00564864">
              <w:rPr>
                <w:noProof/>
                <w:webHidden/>
              </w:rPr>
              <w:fldChar w:fldCharType="end"/>
            </w:r>
          </w:hyperlink>
        </w:p>
        <w:p w14:paraId="31757AE3" w14:textId="3F9ED6FD"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D6593C">
              <w:rPr>
                <w:noProof/>
                <w:webHidden/>
              </w:rPr>
              <w:t>23</w:t>
            </w:r>
            <w:r w:rsidR="00564864">
              <w:rPr>
                <w:noProof/>
                <w:webHidden/>
              </w:rPr>
              <w:fldChar w:fldCharType="end"/>
            </w:r>
          </w:hyperlink>
        </w:p>
        <w:p w14:paraId="02F82405" w14:textId="32AC11DC"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D6593C">
              <w:rPr>
                <w:noProof/>
                <w:webHidden/>
              </w:rPr>
              <w:t>25</w:t>
            </w:r>
            <w:r w:rsidR="00564864">
              <w:rPr>
                <w:noProof/>
                <w:webHidden/>
              </w:rPr>
              <w:fldChar w:fldCharType="end"/>
            </w:r>
          </w:hyperlink>
        </w:p>
        <w:p w14:paraId="048A8739" w14:textId="0CCAE81A" w:rsidR="00564864" w:rsidRDefault="0024592C">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D6593C">
              <w:rPr>
                <w:noProof/>
                <w:webHidden/>
              </w:rPr>
              <w:t>25</w:t>
            </w:r>
            <w:r w:rsidR="00564864">
              <w:rPr>
                <w:noProof/>
                <w:webHidden/>
              </w:rPr>
              <w:fldChar w:fldCharType="end"/>
            </w:r>
          </w:hyperlink>
        </w:p>
        <w:p w14:paraId="51723A0D" w14:textId="680AA6C2" w:rsidR="00564864" w:rsidRDefault="0024592C">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D6593C">
              <w:rPr>
                <w:noProof/>
                <w:webHidden/>
              </w:rPr>
              <w:t>25</w:t>
            </w:r>
            <w:r w:rsidR="00564864">
              <w:rPr>
                <w:noProof/>
                <w:webHidden/>
              </w:rPr>
              <w:fldChar w:fldCharType="end"/>
            </w:r>
          </w:hyperlink>
        </w:p>
        <w:p w14:paraId="2629D2DE" w14:textId="3033CD53" w:rsidR="00564864" w:rsidRDefault="0024592C">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D6593C">
              <w:rPr>
                <w:noProof/>
                <w:webHidden/>
              </w:rPr>
              <w:t>26</w:t>
            </w:r>
            <w:r w:rsidR="00564864">
              <w:rPr>
                <w:noProof/>
                <w:webHidden/>
              </w:rPr>
              <w:fldChar w:fldCharType="end"/>
            </w:r>
          </w:hyperlink>
        </w:p>
        <w:p w14:paraId="2D8B4426" w14:textId="7CFED075"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D6593C">
              <w:rPr>
                <w:noProof/>
                <w:webHidden/>
              </w:rPr>
              <w:t>27</w:t>
            </w:r>
            <w:r w:rsidR="00564864">
              <w:rPr>
                <w:noProof/>
                <w:webHidden/>
              </w:rPr>
              <w:fldChar w:fldCharType="end"/>
            </w:r>
          </w:hyperlink>
        </w:p>
        <w:p w14:paraId="52C233CE" w14:textId="67F8ABAD" w:rsidR="00564864" w:rsidRDefault="0024592C">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D6593C">
              <w:rPr>
                <w:noProof/>
                <w:webHidden/>
              </w:rPr>
              <w:t>28</w:t>
            </w:r>
            <w:r w:rsidR="00564864">
              <w:rPr>
                <w:noProof/>
                <w:webHidden/>
              </w:rPr>
              <w:fldChar w:fldCharType="end"/>
            </w:r>
          </w:hyperlink>
        </w:p>
        <w:p w14:paraId="7F4A430B" w14:textId="513A19E0"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D6593C">
              <w:rPr>
                <w:noProof/>
                <w:webHidden/>
              </w:rPr>
              <w:t>28</w:t>
            </w:r>
            <w:r w:rsidR="00564864">
              <w:rPr>
                <w:noProof/>
                <w:webHidden/>
              </w:rPr>
              <w:fldChar w:fldCharType="end"/>
            </w:r>
          </w:hyperlink>
        </w:p>
        <w:p w14:paraId="5EFAFBB3" w14:textId="67011312"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D6593C">
              <w:rPr>
                <w:noProof/>
                <w:webHidden/>
              </w:rPr>
              <w:t>28</w:t>
            </w:r>
            <w:r w:rsidR="00564864">
              <w:rPr>
                <w:noProof/>
                <w:webHidden/>
              </w:rPr>
              <w:fldChar w:fldCharType="end"/>
            </w:r>
          </w:hyperlink>
        </w:p>
        <w:p w14:paraId="5D96E1DC" w14:textId="0677AC12" w:rsidR="00564864" w:rsidRDefault="0024592C">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D6593C">
              <w:rPr>
                <w:noProof/>
                <w:webHidden/>
              </w:rPr>
              <w:t>29</w:t>
            </w:r>
            <w:r w:rsidR="00564864">
              <w:rPr>
                <w:noProof/>
                <w:webHidden/>
              </w:rPr>
              <w:fldChar w:fldCharType="end"/>
            </w:r>
          </w:hyperlink>
        </w:p>
        <w:p w14:paraId="00639AFA" w14:textId="5F127022"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D6593C">
              <w:rPr>
                <w:noProof/>
                <w:webHidden/>
              </w:rPr>
              <w:t>29</w:t>
            </w:r>
            <w:r w:rsidR="00564864">
              <w:rPr>
                <w:noProof/>
                <w:webHidden/>
              </w:rPr>
              <w:fldChar w:fldCharType="end"/>
            </w:r>
          </w:hyperlink>
        </w:p>
        <w:p w14:paraId="083D2B6F" w14:textId="6B8CC7D9"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D6593C">
              <w:rPr>
                <w:noProof/>
                <w:webHidden/>
              </w:rPr>
              <w:t>29</w:t>
            </w:r>
            <w:r w:rsidR="00564864">
              <w:rPr>
                <w:noProof/>
                <w:webHidden/>
              </w:rPr>
              <w:fldChar w:fldCharType="end"/>
            </w:r>
          </w:hyperlink>
        </w:p>
        <w:p w14:paraId="2DB80729" w14:textId="31927926"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D6593C">
              <w:rPr>
                <w:noProof/>
                <w:webHidden/>
              </w:rPr>
              <w:t>30</w:t>
            </w:r>
            <w:r w:rsidR="00564864">
              <w:rPr>
                <w:noProof/>
                <w:webHidden/>
              </w:rPr>
              <w:fldChar w:fldCharType="end"/>
            </w:r>
          </w:hyperlink>
        </w:p>
        <w:p w14:paraId="07F77CD7" w14:textId="5B14641B"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D6593C">
              <w:rPr>
                <w:noProof/>
                <w:webHidden/>
              </w:rPr>
              <w:t>32</w:t>
            </w:r>
            <w:r w:rsidR="00564864">
              <w:rPr>
                <w:noProof/>
                <w:webHidden/>
              </w:rPr>
              <w:fldChar w:fldCharType="end"/>
            </w:r>
          </w:hyperlink>
        </w:p>
        <w:p w14:paraId="3C7CFD3D" w14:textId="4381E89D"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D6593C">
              <w:rPr>
                <w:noProof/>
                <w:webHidden/>
              </w:rPr>
              <w:t>33</w:t>
            </w:r>
            <w:r w:rsidR="00564864">
              <w:rPr>
                <w:noProof/>
                <w:webHidden/>
              </w:rPr>
              <w:fldChar w:fldCharType="end"/>
            </w:r>
          </w:hyperlink>
        </w:p>
        <w:p w14:paraId="220BE70A" w14:textId="3729C3A6" w:rsidR="00564864" w:rsidRDefault="0024592C">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D6593C">
              <w:rPr>
                <w:noProof/>
                <w:webHidden/>
              </w:rPr>
              <w:t>36</w:t>
            </w:r>
            <w:r w:rsidR="00564864">
              <w:rPr>
                <w:noProof/>
                <w:webHidden/>
              </w:rPr>
              <w:fldChar w:fldCharType="end"/>
            </w:r>
          </w:hyperlink>
        </w:p>
        <w:p w14:paraId="3DAB2C92" w14:textId="07598166" w:rsidR="00564864" w:rsidRDefault="0024592C">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D6593C">
              <w:rPr>
                <w:noProof/>
                <w:webHidden/>
              </w:rPr>
              <w:t>36</w:t>
            </w:r>
            <w:r w:rsidR="00564864">
              <w:rPr>
                <w:noProof/>
                <w:webHidden/>
              </w:rPr>
              <w:fldChar w:fldCharType="end"/>
            </w:r>
          </w:hyperlink>
        </w:p>
        <w:p w14:paraId="6AD9B0E2" w14:textId="26722709"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D6593C">
              <w:rPr>
                <w:noProof/>
                <w:webHidden/>
              </w:rPr>
              <w:t>36</w:t>
            </w:r>
            <w:r w:rsidR="00564864">
              <w:rPr>
                <w:noProof/>
                <w:webHidden/>
              </w:rPr>
              <w:fldChar w:fldCharType="end"/>
            </w:r>
          </w:hyperlink>
        </w:p>
        <w:p w14:paraId="3C63B1C2" w14:textId="08DD37AE"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D6593C">
              <w:rPr>
                <w:noProof/>
                <w:webHidden/>
              </w:rPr>
              <w:t>37</w:t>
            </w:r>
            <w:r w:rsidR="00564864">
              <w:rPr>
                <w:noProof/>
                <w:webHidden/>
              </w:rPr>
              <w:fldChar w:fldCharType="end"/>
            </w:r>
          </w:hyperlink>
        </w:p>
        <w:p w14:paraId="57A7296E" w14:textId="413A512A" w:rsidR="00564864" w:rsidRDefault="0024592C">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D6593C">
              <w:rPr>
                <w:noProof/>
                <w:webHidden/>
              </w:rPr>
              <w:t>39</w:t>
            </w:r>
            <w:r w:rsidR="00564864">
              <w:rPr>
                <w:noProof/>
                <w:webHidden/>
              </w:rPr>
              <w:fldChar w:fldCharType="end"/>
            </w:r>
          </w:hyperlink>
        </w:p>
        <w:p w14:paraId="42ED4584" w14:textId="7559D000" w:rsidR="00564864" w:rsidRDefault="0024592C">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D6593C">
              <w:rPr>
                <w:noProof/>
                <w:webHidden/>
              </w:rPr>
              <w:t>40</w:t>
            </w:r>
            <w:r w:rsidR="00564864">
              <w:rPr>
                <w:noProof/>
                <w:webHidden/>
              </w:rPr>
              <w:fldChar w:fldCharType="end"/>
            </w:r>
          </w:hyperlink>
        </w:p>
        <w:p w14:paraId="2390A9A7" w14:textId="40C88058" w:rsidR="00564864" w:rsidRDefault="0024592C">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D6593C">
              <w:rPr>
                <w:noProof/>
                <w:webHidden/>
              </w:rPr>
              <w:t>41</w:t>
            </w:r>
            <w:r w:rsidR="00564864">
              <w:rPr>
                <w:noProof/>
                <w:webHidden/>
              </w:rPr>
              <w:fldChar w:fldCharType="end"/>
            </w:r>
          </w:hyperlink>
        </w:p>
        <w:p w14:paraId="7FC93731" w14:textId="62426044" w:rsidR="00564864" w:rsidRDefault="0024592C">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D6593C">
              <w:rPr>
                <w:noProof/>
                <w:webHidden/>
              </w:rPr>
              <w:t>43</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1"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1002412"/>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150270">
      <w:pPr>
        <w:pStyle w:val="Akapitzlist"/>
      </w:pPr>
      <w:r>
        <w:lastRenderedPageBreak/>
        <w:t xml:space="preserve">- </w:t>
      </w:r>
      <w:r w:rsidR="004F72F0" w:rsidRPr="007913EB">
        <w:t>dom pomocy społecznej, o którym mowa w ustawie z dnia 12 marca 2004 r. o pomocy społecznej;</w:t>
      </w:r>
    </w:p>
    <w:p w14:paraId="7CE7DCD3" w14:textId="19B1720C" w:rsidR="004F72F0" w:rsidRDefault="00AC56F4" w:rsidP="00150270">
      <w:pPr>
        <w:pStyle w:val="Akapitzlist"/>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 xml:space="preserve">Dz. U. z 2024 r. poz. 146, z </w:t>
      </w:r>
      <w:proofErr w:type="spellStart"/>
      <w:r w:rsidR="003F087B" w:rsidRPr="003F087B">
        <w:t>późn</w:t>
      </w:r>
      <w:proofErr w:type="spellEnd"/>
      <w:r w:rsidR="003F087B" w:rsidRPr="003F087B">
        <w:t>.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25CCB087" w:rsidR="00A85AF9" w:rsidRPr="00F71B93" w:rsidRDefault="00A85AF9" w:rsidP="000463A9">
      <w:pPr>
        <w:numPr>
          <w:ilvl w:val="0"/>
          <w:numId w:val="11"/>
        </w:numPr>
        <w:spacing w:after="240"/>
        <w:contextualSpacing/>
        <w:textAlignment w:val="baseline"/>
        <w:rPr>
          <w:rFonts w:cs="Arial"/>
          <w:bCs/>
        </w:rPr>
      </w:pPr>
      <w:r w:rsidRPr="00F71B93">
        <w:rPr>
          <w:rFonts w:cs="Arial"/>
          <w:bCs/>
        </w:rPr>
        <w:t>Portal – portal internetowy, o którym mowa w art. 46 lit. b rozporządzenia ogólnego, dostarczający informacji na temat wszystkich programów operacyjnych w Polsce</w:t>
      </w:r>
      <w:r w:rsidR="00762F8B" w:rsidRPr="00F71B93">
        <w:rPr>
          <w:rFonts w:cs="Arial"/>
          <w:bCs/>
        </w:rPr>
        <w:t xml:space="preserve"> - </w:t>
      </w:r>
      <w:r w:rsidRPr="00F71B93">
        <w:rPr>
          <w:rFonts w:cs="Arial"/>
          <w:bCs/>
        </w:rPr>
        <w:t>.</w:t>
      </w:r>
      <w:r w:rsidR="00762F8B" w:rsidRPr="00F71B93">
        <w:rPr>
          <w:rFonts w:cs="Arial"/>
          <w:bCs/>
        </w:rPr>
        <w:t xml:space="preserve"> </w:t>
      </w:r>
      <w:hyperlink r:id="rId17" w:history="1">
        <w:r w:rsidR="00762F8B" w:rsidRPr="00F71B93">
          <w:rPr>
            <w:rStyle w:val="Hipercze"/>
            <w:rFonts w:cs="Arial"/>
            <w:bCs/>
          </w:rPr>
          <w:t>Portal Funduszy Europejskich strona internetowa</w:t>
        </w:r>
      </w:hyperlink>
    </w:p>
    <w:p w14:paraId="31BCE72A" w14:textId="77777777" w:rsidR="00A85AF9" w:rsidRPr="00F71B93" w:rsidRDefault="00A85AF9" w:rsidP="000463A9">
      <w:pPr>
        <w:numPr>
          <w:ilvl w:val="0"/>
          <w:numId w:val="11"/>
        </w:numPr>
        <w:spacing w:after="240"/>
        <w:contextualSpacing/>
        <w:textAlignment w:val="baseline"/>
        <w:rPr>
          <w:rFonts w:cs="Arial"/>
          <w:bCs/>
        </w:rPr>
      </w:pPr>
      <w:r w:rsidRPr="00F71B93">
        <w:rPr>
          <w:rFonts w:cs="Arial"/>
          <w:bCs/>
        </w:rPr>
        <w:t>Postępowanie – działania w zakresie wyboru projektów, obejmujące nabór i ocenę wniosków o dofinansowanie oraz rozstrzygnięcia w zakresie przyznania dofinansowania;</w:t>
      </w:r>
    </w:p>
    <w:p w14:paraId="3A31EB9C" w14:textId="7B311CF3" w:rsidR="007C48B8" w:rsidRPr="00F71B93" w:rsidRDefault="007C48B8" w:rsidP="000463A9">
      <w:pPr>
        <w:numPr>
          <w:ilvl w:val="0"/>
          <w:numId w:val="11"/>
        </w:numPr>
        <w:spacing w:after="240"/>
        <w:contextualSpacing/>
        <w:textAlignment w:val="baseline"/>
        <w:rPr>
          <w:rFonts w:cs="Arial"/>
          <w:bCs/>
        </w:rPr>
      </w:pPr>
      <w:r w:rsidRPr="00F71B93">
        <w:rPr>
          <w:rFonts w:cs="Arial"/>
          <w:bCs/>
        </w:rPr>
        <w:t>Protok</w:t>
      </w:r>
      <w:r w:rsidR="00F02696" w:rsidRPr="00F71B93">
        <w:rPr>
          <w:rFonts w:cs="Arial"/>
          <w:bCs/>
        </w:rPr>
        <w:t xml:space="preserve">oły </w:t>
      </w:r>
      <w:r w:rsidRPr="00F71B93">
        <w:rPr>
          <w:rFonts w:cs="Arial"/>
          <w:bCs/>
        </w:rPr>
        <w:t>szkód</w:t>
      </w:r>
      <w:r w:rsidR="00F02696" w:rsidRPr="00F71B93">
        <w:rPr>
          <w:rFonts w:cs="Arial"/>
          <w:bCs/>
        </w:rPr>
        <w:t xml:space="preserve"> –</w:t>
      </w:r>
      <w:r w:rsidRPr="00F71B93">
        <w:rPr>
          <w:rFonts w:cs="Arial"/>
          <w:bCs/>
        </w:rPr>
        <w:t xml:space="preserve"> </w:t>
      </w:r>
      <w:r w:rsidR="00F02696" w:rsidRPr="00F71B93">
        <w:rPr>
          <w:rFonts w:cs="Arial"/>
          <w:bCs/>
        </w:rPr>
        <w:t>dokumenty sporządzone przez Wojewódzką Komisję ds. Weryfikacji Strat Powstałych w Wyniku Zdarzeń noszących znamiona klęski żywiołowej z września 2024 r., działającą na zlecenie Wojewody Śląskiego, na podstawie zarządzenia nr 304/24 Wojewody Śląskiego z dnia 20 sierpnia 2024 r..</w:t>
      </w:r>
      <w:r w:rsidR="00DC18BF" w:rsidRPr="00F71B93">
        <w:rPr>
          <w:rFonts w:cs="Arial"/>
          <w:bCs/>
        </w:rPr>
        <w:t xml:space="preserve"> </w:t>
      </w:r>
    </w:p>
    <w:p w14:paraId="36FCF19A" w14:textId="7A26B670"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6BF9CCD5" w:rsidR="00A85AF9" w:rsidRPr="00A85AF9" w:rsidRDefault="00A85AF9" w:rsidP="7DD2D171">
      <w:pPr>
        <w:numPr>
          <w:ilvl w:val="0"/>
          <w:numId w:val="11"/>
        </w:numPr>
        <w:spacing w:after="240"/>
        <w:contextualSpacing/>
        <w:textAlignment w:val="baseline"/>
        <w:rPr>
          <w:rFonts w:cs="Arial"/>
        </w:rPr>
      </w:pPr>
      <w:r w:rsidRPr="7DD2D171">
        <w:rPr>
          <w:rFonts w:cs="Arial"/>
        </w:rPr>
        <w:t>Strona internetowa programu FE SL 2021-2027</w:t>
      </w:r>
      <w:r w:rsidR="000E240F" w:rsidRPr="7DD2D171">
        <w:rPr>
          <w:rFonts w:cs="Arial"/>
        </w:rPr>
        <w:t xml:space="preserve"> </w:t>
      </w:r>
      <w:r w:rsidRPr="7DD2D171">
        <w:rPr>
          <w:rFonts w:cs="Arial"/>
        </w:rPr>
        <w:t>–</w:t>
      </w:r>
      <w:r w:rsidR="000E240F" w:rsidRPr="7DD2D171">
        <w:rPr>
          <w:rFonts w:cs="Arial"/>
        </w:rPr>
        <w:t xml:space="preserve"> </w:t>
      </w:r>
      <w:hyperlink r:id="rId18">
        <w:r w:rsidR="00C14CE6" w:rsidRPr="7DD2D171">
          <w:rPr>
            <w:rStyle w:val="Hipercze"/>
            <w:rFonts w:cs="Arial"/>
          </w:rPr>
          <w:t>FE SL 2021-2027 strona internetowa</w:t>
        </w:r>
      </w:hyperlink>
      <w:r w:rsidRPr="7DD2D171">
        <w:rPr>
          <w:rFonts w:cs="Arial"/>
        </w:rPr>
        <w:t xml:space="preserve"> –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 xml:space="preserve">umowę zawartą między właściwą instytucją a wnioskodawcą, którego projekt został wybrany do dofinansowania, zawierającą co najmniej </w:t>
      </w:r>
      <w:r w:rsidRPr="00A85AF9">
        <w:lastRenderedPageBreak/>
        <w:t>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1002413"/>
      <w:r w:rsidRPr="00E72D9B">
        <w:lastRenderedPageBreak/>
        <w:t>Informacje o naborze</w:t>
      </w:r>
      <w:bookmarkEnd w:id="4"/>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5801D674"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87733B">
        <w:rPr>
          <w:rFonts w:cs="Arial"/>
        </w:rPr>
        <w:t>XIV</w:t>
      </w:r>
      <w:r w:rsidR="0087733B" w:rsidRPr="0087733B">
        <w:rPr>
          <w:rFonts w:cs="Arial"/>
        </w:rPr>
        <w:t xml:space="preserve"> Fundusze Europejskie na odbudowę regionu po klęskach żywiołowych</w:t>
      </w:r>
      <w:r w:rsidR="002C3C28" w:rsidRPr="00646527">
        <w:rPr>
          <w:rFonts w:cs="Arial"/>
        </w:rPr>
        <w:t xml:space="preserve">, </w:t>
      </w:r>
      <w:r w:rsidR="0070031B" w:rsidRPr="00646527">
        <w:rPr>
          <w:rFonts w:cs="Arial"/>
        </w:rPr>
        <w:t xml:space="preserve">Działanie </w:t>
      </w:r>
      <w:r w:rsidR="0087733B" w:rsidRPr="0087733B">
        <w:rPr>
          <w:rFonts w:cs="Arial"/>
        </w:rPr>
        <w:t>14.01 Odbudowa dróg lokalnych</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6" w:name="_Toc114570831"/>
      <w:bookmarkStart w:id="7" w:name="_Toc181002414"/>
      <w:r w:rsidRPr="00E72D9B">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lastRenderedPageBreak/>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1002415"/>
      <w:r>
        <w:t xml:space="preserve">1.2 </w:t>
      </w:r>
      <w:r w:rsidR="00417997">
        <w:tab/>
      </w:r>
      <w:r w:rsidR="00E72D9B">
        <w:t>Ważne daty</w:t>
      </w:r>
      <w:bookmarkEnd w:id="8"/>
      <w:bookmarkEnd w:id="9"/>
    </w:p>
    <w:p w14:paraId="1143DF2F" w14:textId="349120A8"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F7397C">
        <w:rPr>
          <w:color w:val="2E74B5" w:themeColor="accent1" w:themeShade="BF"/>
        </w:rPr>
        <w:t>6</w:t>
      </w:r>
      <w:r w:rsidR="00CC7323" w:rsidRPr="0092184D">
        <w:rPr>
          <w:color w:val="2E74B5" w:themeColor="accent1" w:themeShade="BF"/>
        </w:rPr>
        <w:t>-0</w:t>
      </w:r>
      <w:r w:rsidR="00006B72">
        <w:rPr>
          <w:color w:val="2E74B5" w:themeColor="accent1" w:themeShade="BF"/>
        </w:rPr>
        <w:t>2</w:t>
      </w:r>
      <w:r w:rsidR="00CC7323" w:rsidRPr="0092184D">
        <w:rPr>
          <w:color w:val="2E74B5" w:themeColor="accent1" w:themeShade="BF"/>
        </w:rPr>
        <w:t>-</w:t>
      </w:r>
      <w:r w:rsidR="00006B72">
        <w:rPr>
          <w:color w:val="2E74B5" w:themeColor="accent1" w:themeShade="BF"/>
        </w:rPr>
        <w:t>2</w:t>
      </w:r>
      <w:r w:rsidR="00765A5E">
        <w:rPr>
          <w:color w:val="2E74B5" w:themeColor="accent1" w:themeShade="BF"/>
        </w:rPr>
        <w:t>3</w:t>
      </w:r>
    </w:p>
    <w:p w14:paraId="73D5D720" w14:textId="45D9A0EE"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F7397C">
        <w:rPr>
          <w:color w:val="2E74B5" w:themeColor="accent1" w:themeShade="BF"/>
        </w:rPr>
        <w:t>6</w:t>
      </w:r>
      <w:r w:rsidR="00CC7323" w:rsidRPr="0092184D">
        <w:rPr>
          <w:color w:val="2E74B5" w:themeColor="accent1" w:themeShade="BF"/>
        </w:rPr>
        <w:t>-0</w:t>
      </w:r>
      <w:r w:rsidR="0024592C">
        <w:rPr>
          <w:color w:val="2E74B5" w:themeColor="accent1" w:themeShade="BF"/>
        </w:rPr>
        <w:t>5</w:t>
      </w:r>
      <w:r w:rsidR="00CC7323" w:rsidRPr="0092184D">
        <w:rPr>
          <w:color w:val="2E74B5" w:themeColor="accent1" w:themeShade="BF"/>
        </w:rPr>
        <w:t>-</w:t>
      </w:r>
      <w:r w:rsidR="0024592C">
        <w:rPr>
          <w:color w:val="2E74B5" w:themeColor="accent1" w:themeShade="BF"/>
        </w:rPr>
        <w:t>15</w:t>
      </w:r>
      <w:bookmarkStart w:id="10" w:name="_GoBack"/>
      <w:bookmarkEnd w:id="10"/>
    </w:p>
    <w:p w14:paraId="6DAAEAA5" w14:textId="5194786B" w:rsidR="00E72D9B" w:rsidRPr="0092184D" w:rsidRDefault="00E72D9B" w:rsidP="0092184D">
      <w:pPr>
        <w:ind w:left="360"/>
        <w:rPr>
          <w:rFonts w:eastAsia="Arial"/>
          <w:szCs w:val="24"/>
        </w:rPr>
      </w:pPr>
      <w:r w:rsidRPr="004F2B79">
        <w:t>Orientacyjny termin zakończenia postępowania</w:t>
      </w:r>
      <w:r w:rsidRPr="00790958">
        <w:t xml:space="preserve">: </w:t>
      </w:r>
      <w:r w:rsidR="00A941F6" w:rsidRPr="00790958">
        <w:t>I</w:t>
      </w:r>
      <w:r w:rsidR="00F7397C" w:rsidRPr="00790958">
        <w:t>V</w:t>
      </w:r>
      <w:r w:rsidRPr="00790958">
        <w:t xml:space="preserve"> kwartał 202</w:t>
      </w:r>
      <w:r w:rsidR="00F7397C" w:rsidRPr="00790958">
        <w:t>6</w:t>
      </w:r>
      <w:r w:rsidR="00A941F6">
        <w:t xml:space="preserve"> </w:t>
      </w:r>
      <w: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150270">
      <w:pPr>
        <w:pStyle w:val="Akapitzlist"/>
        <w:numPr>
          <w:ilvl w:val="0"/>
          <w:numId w:val="21"/>
        </w:numPr>
      </w:pPr>
      <w:r w:rsidRPr="3920A4F9">
        <w:t>wystąpienia awarii LSI2021/CST2021</w:t>
      </w:r>
    </w:p>
    <w:p w14:paraId="231AA4C5" w14:textId="77777777" w:rsidR="1F988EF1" w:rsidRPr="008E0197" w:rsidRDefault="1F988EF1" w:rsidP="00150270">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150270">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150270">
      <w:pPr>
        <w:pStyle w:val="Akapitzlist"/>
        <w:numPr>
          <w:ilvl w:val="0"/>
          <w:numId w:val="21"/>
        </w:numPr>
        <w:rPr>
          <w:rFonts w:eastAsia="Calibri"/>
        </w:rPr>
      </w:pPr>
      <w:r w:rsidRPr="3920A4F9">
        <w:t>zmiany regulaminu wyboru projektów;</w:t>
      </w:r>
    </w:p>
    <w:p w14:paraId="0A1250F8" w14:textId="77777777" w:rsidR="1F988EF1" w:rsidRPr="008E0197" w:rsidRDefault="1F988EF1" w:rsidP="00150270">
      <w:pPr>
        <w:pStyle w:val="Akapitzlist"/>
        <w:numPr>
          <w:ilvl w:val="0"/>
          <w:numId w:val="21"/>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150270">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150270">
      <w:pPr>
        <w:pStyle w:val="Akapitzlist"/>
        <w:numPr>
          <w:ilvl w:val="0"/>
          <w:numId w:val="21"/>
        </w:numPr>
      </w:pPr>
      <w:r w:rsidRPr="00B8212A">
        <w:lastRenderedPageBreak/>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1" w:name="_Toc114570833"/>
      <w:bookmarkStart w:id="12" w:name="_Toc181002416"/>
      <w:r>
        <w:t xml:space="preserve">1.3 </w:t>
      </w:r>
      <w:r w:rsidR="00417997">
        <w:tab/>
      </w:r>
      <w:r w:rsidR="00E72D9B" w:rsidRPr="00E72D9B">
        <w:t xml:space="preserve">Kto może ubiegać się o dofinansowanie - typy </w:t>
      </w:r>
      <w:r w:rsidR="00CE22ED">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2E11DE" w14:paraId="5C56AAA1" w14:textId="77777777" w:rsidTr="00A501A3">
        <w:trPr>
          <w:tblHeader/>
        </w:trPr>
        <w:tc>
          <w:tcPr>
            <w:tcW w:w="846" w:type="dxa"/>
          </w:tcPr>
          <w:p w14:paraId="4BC8C25F" w14:textId="77777777" w:rsidR="008D1976" w:rsidRPr="0051735C" w:rsidRDefault="008D1976" w:rsidP="00150270">
            <w:pPr>
              <w:pStyle w:val="Akapitzlist"/>
            </w:pPr>
          </w:p>
        </w:tc>
        <w:tc>
          <w:tcPr>
            <w:tcW w:w="2044" w:type="dxa"/>
          </w:tcPr>
          <w:p w14:paraId="6FD58389"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6D24147B" w14:textId="009360E8" w:rsidR="008D1976" w:rsidRPr="0051735C" w:rsidRDefault="008D1976" w:rsidP="00CD6E03">
            <w:pPr>
              <w:rPr>
                <w:rFonts w:cs="Arial"/>
                <w:szCs w:val="24"/>
              </w:rPr>
            </w:pPr>
            <w:r w:rsidRPr="002E11DE">
              <w:rPr>
                <w:rFonts w:cs="Arial"/>
                <w:szCs w:val="24"/>
              </w:rPr>
              <w:t xml:space="preserve">Administracja </w:t>
            </w:r>
            <w:r w:rsidR="00007417">
              <w:rPr>
                <w:rFonts w:cs="Arial"/>
                <w:szCs w:val="24"/>
              </w:rPr>
              <w:t>publiczna</w:t>
            </w:r>
          </w:p>
        </w:tc>
        <w:tc>
          <w:tcPr>
            <w:tcW w:w="2266" w:type="dxa"/>
          </w:tcPr>
          <w:p w14:paraId="1C329A50" w14:textId="77777777" w:rsidR="008D1976" w:rsidRPr="002E11DE" w:rsidRDefault="008D1976" w:rsidP="00CD6E03">
            <w:pPr>
              <w:rPr>
                <w:rFonts w:cs="Arial"/>
                <w:szCs w:val="24"/>
              </w:rPr>
            </w:pPr>
          </w:p>
        </w:tc>
      </w:tr>
      <w:tr w:rsidR="008D1976" w:rsidRPr="0051735C" w14:paraId="6ACC1867" w14:textId="77777777" w:rsidTr="00A501A3">
        <w:trPr>
          <w:tblHeader/>
        </w:trPr>
        <w:tc>
          <w:tcPr>
            <w:tcW w:w="846" w:type="dxa"/>
          </w:tcPr>
          <w:p w14:paraId="03DCCBD7" w14:textId="77777777" w:rsidR="008D1976" w:rsidRPr="0051735C" w:rsidRDefault="008D1976" w:rsidP="00150270">
            <w:pPr>
              <w:pStyle w:val="Akapitzlist"/>
            </w:pPr>
          </w:p>
        </w:tc>
        <w:tc>
          <w:tcPr>
            <w:tcW w:w="2044" w:type="dxa"/>
          </w:tcPr>
          <w:p w14:paraId="4884B96B"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26CA0E32" w14:textId="77777777" w:rsidR="008D1976" w:rsidRPr="0051735C" w:rsidRDefault="008D1976" w:rsidP="00CD6E03">
            <w:pPr>
              <w:rPr>
                <w:rFonts w:cs="Arial"/>
                <w:szCs w:val="24"/>
              </w:rPr>
            </w:pPr>
            <w:r w:rsidRPr="002E11DE">
              <w:rPr>
                <w:rFonts w:cs="Arial"/>
                <w:szCs w:val="24"/>
              </w:rPr>
              <w:t>Jednostki Samorządu Terytorialnego</w:t>
            </w:r>
          </w:p>
        </w:tc>
        <w:tc>
          <w:tcPr>
            <w:tcW w:w="2266" w:type="dxa"/>
          </w:tcPr>
          <w:p w14:paraId="308F6337" w14:textId="77777777" w:rsidR="008D1976" w:rsidRPr="002E11DE" w:rsidRDefault="008D1976" w:rsidP="00CD6E03">
            <w:pPr>
              <w:autoSpaceDE w:val="0"/>
              <w:autoSpaceDN w:val="0"/>
              <w:adjustRightInd w:val="0"/>
              <w:rPr>
                <w:rFonts w:cs="Arial"/>
                <w:szCs w:val="24"/>
              </w:rPr>
            </w:pPr>
            <w:r w:rsidRPr="002E11DE">
              <w:rPr>
                <w:rFonts w:cs="Arial"/>
                <w:szCs w:val="24"/>
              </w:rPr>
              <w:t>do tego typu zalicza się również związki</w:t>
            </w:r>
          </w:p>
          <w:p w14:paraId="07DE00A9" w14:textId="77777777" w:rsidR="008D1976" w:rsidRPr="0051735C" w:rsidRDefault="008D1976" w:rsidP="00CD6E03">
            <w:pPr>
              <w:rPr>
                <w:rFonts w:cs="Arial"/>
              </w:rPr>
            </w:pPr>
            <w:proofErr w:type="spellStart"/>
            <w:r w:rsidRPr="002E11DE">
              <w:rPr>
                <w:rFonts w:cs="Arial"/>
              </w:rPr>
              <w:t>jst</w:t>
            </w:r>
            <w:proofErr w:type="spellEnd"/>
            <w:r w:rsidRPr="002E11DE">
              <w:rPr>
                <w:rFonts w:cs="Arial"/>
              </w:rPr>
              <w:t xml:space="preserve">, stowarzyszenia </w:t>
            </w:r>
            <w:proofErr w:type="spellStart"/>
            <w:r w:rsidRPr="002E11DE">
              <w:rPr>
                <w:rFonts w:cs="Arial"/>
              </w:rPr>
              <w:t>jst</w:t>
            </w:r>
            <w:proofErr w:type="spellEnd"/>
            <w:r w:rsidRPr="002E11DE">
              <w:rPr>
                <w:rFonts w:cs="Arial"/>
              </w:rPr>
              <w:t xml:space="preserve">,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bl>
    <w:p w14:paraId="32D10C6C" w14:textId="0D039119" w:rsidR="00E72D9B" w:rsidRPr="00EE0CE9" w:rsidRDefault="00E72D9B" w:rsidP="000A4B81">
      <w:pPr>
        <w:spacing w:before="240" w:after="0"/>
        <w:textAlignment w:val="baseline"/>
        <w:rPr>
          <w:rStyle w:val="Pogrubienie"/>
        </w:rPr>
      </w:pPr>
    </w:p>
    <w:p w14:paraId="7315E566" w14:textId="33775870" w:rsidR="00E72D9B" w:rsidRDefault="3462DCF5" w:rsidP="000A4B81">
      <w:pPr>
        <w:pStyle w:val="Nagwek2"/>
        <w:numPr>
          <w:ilvl w:val="1"/>
          <w:numId w:val="0"/>
        </w:numPr>
        <w:spacing w:after="240"/>
      </w:pPr>
      <w:bookmarkStart w:id="13" w:name="_Toc114570834"/>
      <w:bookmarkStart w:id="14" w:name="_Toc181002417"/>
      <w:r>
        <w:t xml:space="preserve">1.4 </w:t>
      </w:r>
      <w:r w:rsidR="00417997">
        <w:tab/>
      </w:r>
      <w:r w:rsidR="00E72D9B">
        <w:t>Co możesz zrealizować w projekcie - typy projektów</w:t>
      </w:r>
      <w:bookmarkEnd w:id="13"/>
      <w:bookmarkEnd w:id="14"/>
    </w:p>
    <w:p w14:paraId="2A0E801A" w14:textId="60E1AC68"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0DC18BF">
        <w:rPr>
          <w:rFonts w:eastAsia="Times New Roman" w:cs="Arial"/>
          <w:lang w:eastAsia="pl-PL"/>
        </w:rPr>
        <w:t>ów</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A9D5262" w14:textId="0F8A5BB2" w:rsidR="00707F36" w:rsidRPr="008230B7" w:rsidRDefault="00707F36" w:rsidP="00707F36">
      <w:pPr>
        <w:spacing w:after="0"/>
        <w:textAlignment w:val="baseline"/>
        <w:rPr>
          <w:rFonts w:eastAsia="Times New Roman" w:cstheme="minorHAnsi"/>
          <w:color w:val="000000" w:themeColor="text1"/>
          <w:szCs w:val="24"/>
          <w:lang w:eastAsia="pl-PL"/>
        </w:rPr>
      </w:pPr>
      <w:r w:rsidRPr="008230B7">
        <w:rPr>
          <w:rFonts w:eastAsia="Times New Roman" w:cstheme="minorHAnsi"/>
          <w:color w:val="000000" w:themeColor="text1"/>
          <w:szCs w:val="24"/>
          <w:lang w:eastAsia="pl-PL"/>
        </w:rPr>
        <w:t xml:space="preserve">Projekt swoim zakresem obejmuje </w:t>
      </w:r>
      <w:r>
        <w:rPr>
          <w:rFonts w:eastAsia="Times New Roman" w:cstheme="minorHAnsi"/>
          <w:color w:val="000000" w:themeColor="text1"/>
          <w:szCs w:val="24"/>
          <w:lang w:eastAsia="pl-PL"/>
        </w:rPr>
        <w:t xml:space="preserve">lub bezpośrednio oddziałuje na </w:t>
      </w:r>
      <w:r w:rsidRPr="008230B7">
        <w:rPr>
          <w:rFonts w:eastAsia="Times New Roman" w:cstheme="minorHAnsi"/>
          <w:color w:val="000000" w:themeColor="text1"/>
          <w:szCs w:val="24"/>
          <w:lang w:eastAsia="pl-PL"/>
        </w:rPr>
        <w:t>infrastrukturę drogową, która została uszkodzona w wyniku powodzi z września 2024 r.</w:t>
      </w:r>
    </w:p>
    <w:p w14:paraId="22EEB4DD" w14:textId="3AC1A929" w:rsidR="00707F36" w:rsidRDefault="50288D13" w:rsidP="000A4B81">
      <w:pPr>
        <w:spacing w:after="240"/>
        <w:rPr>
          <w:rFonts w:eastAsia="Times New Roman" w:cs="Arial"/>
          <w:lang w:eastAsia="pl-PL"/>
        </w:rPr>
      </w:pPr>
      <w:r w:rsidRPr="3915EE4C">
        <w:rPr>
          <w:rFonts w:eastAsia="Times New Roman" w:cs="Arial"/>
          <w:lang w:eastAsia="pl-PL"/>
        </w:rPr>
        <w:t>Przykładowe rodzaje inwestycji:</w:t>
      </w:r>
    </w:p>
    <w:p w14:paraId="4AA0E816" w14:textId="77777777" w:rsidR="007D4D3B" w:rsidRDefault="00317C2F" w:rsidP="00150270">
      <w:pPr>
        <w:pStyle w:val="Akapitzlist"/>
        <w:numPr>
          <w:ilvl w:val="0"/>
          <w:numId w:val="37"/>
        </w:numPr>
      </w:pPr>
      <w:r>
        <w:t>Przebudowa, remont i modernizacja dróg gminnych i powiatowych.</w:t>
      </w:r>
    </w:p>
    <w:p w14:paraId="6F6E2764" w14:textId="77777777" w:rsidR="00150270" w:rsidRDefault="00317C2F" w:rsidP="00150270">
      <w:pPr>
        <w:pStyle w:val="Akapitzlist"/>
        <w:numPr>
          <w:ilvl w:val="0"/>
          <w:numId w:val="37"/>
        </w:numPr>
      </w:pPr>
      <w:r>
        <w:t xml:space="preserve">Odtwarzanie lub przebudowa obiektów inżynierskich, w tym mostów, przepustów, murów oporowych, ścianek zabezpieczających, systemów odwodnienia. </w:t>
      </w:r>
    </w:p>
    <w:p w14:paraId="09553DA4" w14:textId="5BD75895" w:rsidR="00663FC2" w:rsidRPr="002658DB" w:rsidRDefault="00317C2F" w:rsidP="00790958">
      <w:pPr>
        <w:pStyle w:val="Akapitzlist"/>
        <w:ind w:left="720"/>
      </w:pPr>
      <w:r>
        <w:lastRenderedPageBreak/>
        <w:t>Możliwa jest zmiana przebiegu dróg/ obiektów drogowych, poprzez budowę, wyłącznie w przypadku zniszczenia infrastruktury i jeżeli jej odtworzenie w dotychczasowym miejscu jest nieuzasadnione z powodu zagrożenia potencjalnymi klęskami żywiołowymi.</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665C52E"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D203AB" w:rsidRPr="00C978E8">
          <w:rPr>
            <w:rStyle w:val="Hipercze"/>
            <w:rFonts w:cs="Arial"/>
          </w:rPr>
          <w:t>SZOP FE SL 2021-2027</w:t>
        </w:r>
      </w:hyperlink>
    </w:p>
    <w:p w14:paraId="6AE49B90" w14:textId="77777777" w:rsidR="00E72D9B" w:rsidRDefault="00E72D9B" w:rsidP="000463A9">
      <w:pPr>
        <w:pStyle w:val="Nagwek2"/>
        <w:numPr>
          <w:ilvl w:val="1"/>
          <w:numId w:val="16"/>
        </w:numPr>
        <w:spacing w:after="240"/>
        <w:ind w:left="646"/>
      </w:pPr>
      <w:bookmarkStart w:id="15" w:name="_Toc111010155"/>
      <w:bookmarkStart w:id="16" w:name="_Toc111010212"/>
      <w:bookmarkStart w:id="17" w:name="_Toc114570835"/>
      <w:bookmarkStart w:id="18" w:name="_Toc181002418"/>
      <w:r>
        <w:t>Jakie warunki musisz spełnić</w:t>
      </w:r>
      <w:bookmarkEnd w:id="15"/>
      <w:bookmarkEnd w:id="16"/>
      <w:bookmarkEnd w:id="17"/>
      <w:bookmarkEnd w:id="18"/>
    </w:p>
    <w:p w14:paraId="5F30D62D" w14:textId="64E0F46A" w:rsidR="00E72D9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250D74F4" w14:textId="3BDC363A" w:rsidR="00E74D8B" w:rsidRPr="00B7037B" w:rsidRDefault="00E74D8B" w:rsidP="00A501A3">
      <w:r>
        <w:t>W</w:t>
      </w:r>
      <w:r w:rsidRPr="00E74D8B">
        <w:t xml:space="preserve"> przypadku wydatków już poniesionych, żaden z wydatków nie </w:t>
      </w:r>
      <w:r>
        <w:t xml:space="preserve">może zostać </w:t>
      </w:r>
      <w:r w:rsidRPr="00E74D8B">
        <w:t>poniesiony przed 16</w:t>
      </w:r>
      <w:r>
        <w:t xml:space="preserve"> </w:t>
      </w:r>
      <w:r w:rsidRPr="00E74D8B">
        <w:t>września 2024 r</w:t>
      </w:r>
      <w:r>
        <w:t xml:space="preserve">. </w:t>
      </w:r>
      <w:r>
        <w:br/>
      </w:r>
      <w:r w:rsidR="00BD158E" w:rsidRPr="00BD158E">
        <w:t>Inwestycja może zostać zakończona przed złożeniem wniosku o dofinansowanie, zgodnie z rozporządzeniem Parlamentu Europejskiego i Rady (UE) 2024/3236 z dnia 19 grudnia 2024 r., zmieniającym rozporządzenia (UE) 2021/1057 oraz (UE) 2021/1058 w odniesieniu do regionalnego wsparcia na rzecz odbudowy w sytuacjach nadzwyczajnych (RESTORE).</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6EC79BA9" w14:textId="3D4F4C3E" w:rsidR="002D5EDF" w:rsidRDefault="002D5EDF" w:rsidP="00981A69">
      <w:pPr>
        <w:pStyle w:val="Akapitzlist"/>
        <w:numPr>
          <w:ilvl w:val="0"/>
          <w:numId w:val="44"/>
        </w:numPr>
        <w:ind w:left="426"/>
      </w:pPr>
      <w:r>
        <w:t>O wsparcie w ramach Działania 14.1 mogą ubiegać się następujące jednostki samorządu terytorialnego:</w:t>
      </w:r>
    </w:p>
    <w:p w14:paraId="0A090E58" w14:textId="77777777" w:rsidR="002D5EDF" w:rsidRDefault="002D5EDF" w:rsidP="00150270">
      <w:pPr>
        <w:pStyle w:val="Akapitzlist"/>
        <w:numPr>
          <w:ilvl w:val="0"/>
          <w:numId w:val="38"/>
        </w:numPr>
      </w:pPr>
      <w:r>
        <w:t>miasto Bielsko-Biała,</w:t>
      </w:r>
    </w:p>
    <w:p w14:paraId="62969B24" w14:textId="423B39D3" w:rsidR="002D5EDF" w:rsidRDefault="002D5EDF" w:rsidP="00150270">
      <w:pPr>
        <w:pStyle w:val="Akapitzlist"/>
        <w:numPr>
          <w:ilvl w:val="0"/>
          <w:numId w:val="38"/>
        </w:numPr>
      </w:pPr>
      <w:r>
        <w:t>powiat bielski oraz gminy: Jasienica, Jaworze, Bestwina, Wilamowice, Porąbka, Wilkowice, Czechowice-Dziedzice,</w:t>
      </w:r>
      <w:r w:rsidR="00683D6A">
        <w:t xml:space="preserve"> Kozy,</w:t>
      </w:r>
    </w:p>
    <w:p w14:paraId="35882877" w14:textId="77777777" w:rsidR="002D5EDF" w:rsidRDefault="002D5EDF" w:rsidP="00150270">
      <w:pPr>
        <w:pStyle w:val="Akapitzlist"/>
        <w:numPr>
          <w:ilvl w:val="0"/>
          <w:numId w:val="38"/>
        </w:numPr>
      </w:pPr>
      <w:r>
        <w:t>powiat cieszyński oraz gminy: Goleszów, Strumień, Skoczów, Ustroń, Hażlach, Istebna, Zebrzydowice,</w:t>
      </w:r>
    </w:p>
    <w:p w14:paraId="1B4F8A44" w14:textId="77777777" w:rsidR="002D5EDF" w:rsidRDefault="002D5EDF" w:rsidP="00150270">
      <w:pPr>
        <w:pStyle w:val="Akapitzlist"/>
        <w:numPr>
          <w:ilvl w:val="0"/>
          <w:numId w:val="38"/>
        </w:numPr>
      </w:pPr>
      <w:r>
        <w:t>powiat pszczyński oraz gminy: Goczałkowice-Zdrój, Kobiór, Miedźna, Pszczyna,</w:t>
      </w:r>
    </w:p>
    <w:p w14:paraId="114BABDC" w14:textId="73ED6E69" w:rsidR="002D5EDF" w:rsidRDefault="002D5EDF" w:rsidP="00150270">
      <w:pPr>
        <w:pStyle w:val="Akapitzlist"/>
        <w:numPr>
          <w:ilvl w:val="0"/>
          <w:numId w:val="38"/>
        </w:numPr>
      </w:pPr>
      <w:r>
        <w:lastRenderedPageBreak/>
        <w:t>powiat raciborski oraz gminy: Kornowac, Krzanowice, Krzyżanowice, Pietrowice</w:t>
      </w:r>
      <w:r w:rsidR="000F7C00">
        <w:t xml:space="preserve"> Wielkie</w:t>
      </w:r>
      <w:r>
        <w:t>, Racibórz, Rudnik.</w:t>
      </w:r>
    </w:p>
    <w:p w14:paraId="61E1AFB8" w14:textId="0737D433" w:rsidR="005971DF" w:rsidRPr="00026591" w:rsidRDefault="005971DF" w:rsidP="00E03F8C">
      <w:pPr>
        <w:pStyle w:val="Akapitzlist"/>
        <w:ind w:left="426"/>
      </w:pPr>
      <w:r w:rsidRPr="00026591">
        <w:t>Wsparcie ograniczone jest do dróg gminnych i powiatowych zlokalizowanych na terenie gmin objętych stanem klęski żywiołowej, zgodnie z rozporządzeniem Rady Ministrów z dnia 16 września 2024 r. w sprawie wprowadzenia stanu klęski żywiołowej na obszarze części województwa śląskiego.</w:t>
      </w:r>
    </w:p>
    <w:p w14:paraId="5797C020" w14:textId="36C29B71" w:rsidR="00940073" w:rsidRDefault="005971DF" w:rsidP="00E03F8C">
      <w:pPr>
        <w:pStyle w:val="Akapitzlist"/>
        <w:ind w:left="426"/>
      </w:pPr>
      <w:r>
        <w:t>Zakres wsparcia obejmuje wyłącznie jednostki samorządu terytorialnego, które wykazały szkody w infrastrukturze drogowej, potwierdzone przez Wojewódzką Komisję ds. weryfikacji strat powstałych w wyniku zdarzeń noszących znamiona klęski żywiołowej, działającą na zlecenie Wojewody Śląskiego</w:t>
      </w:r>
      <w:r w:rsidR="00D650D6">
        <w:t>.</w:t>
      </w:r>
    </w:p>
    <w:p w14:paraId="62D22034" w14:textId="77777777" w:rsidR="00150270" w:rsidRDefault="00150270" w:rsidP="00150270">
      <w:pPr>
        <w:pStyle w:val="Akapitzlist"/>
      </w:pPr>
    </w:p>
    <w:p w14:paraId="4F97A142" w14:textId="4F7348BA" w:rsidR="007A14F1" w:rsidRDefault="00940073" w:rsidP="00981A69">
      <w:pPr>
        <w:pStyle w:val="Akapitzlist"/>
        <w:numPr>
          <w:ilvl w:val="0"/>
          <w:numId w:val="44"/>
        </w:numPr>
        <w:ind w:left="426"/>
      </w:pPr>
      <w:r w:rsidRPr="008230B7">
        <w:rPr>
          <w:lang w:eastAsia="pl-PL"/>
        </w:rPr>
        <w:t xml:space="preserve">Infrastruktura drogowa możliwa do objęcia wsparciem musi być bezpośrednio połączona lub funkcjonalnie powiązana z infrastrukturą drogową uszkodzoną w wyniku powodzi (określoną w wojewódzkich protokołach szkód). </w:t>
      </w:r>
      <w:r w:rsidRPr="008230B7">
        <w:br/>
      </w:r>
      <w:r w:rsidRPr="008230B7">
        <w:rPr>
          <w:lang w:eastAsia="pl-PL"/>
        </w:rPr>
        <w:t>Zakres wspieranego projektu może obejmować:</w:t>
      </w:r>
    </w:p>
    <w:p w14:paraId="33B64550" w14:textId="2698AA17" w:rsidR="00940073" w:rsidRPr="008230B7" w:rsidRDefault="00940073" w:rsidP="00150270">
      <w:pPr>
        <w:pStyle w:val="Akapitzlist"/>
        <w:numPr>
          <w:ilvl w:val="0"/>
          <w:numId w:val="41"/>
        </w:numPr>
        <w:rPr>
          <w:lang w:eastAsia="pl-PL"/>
        </w:rPr>
      </w:pPr>
      <w:r w:rsidRPr="3915EE4C">
        <w:rPr>
          <w:lang w:eastAsia="pl-PL"/>
        </w:rPr>
        <w:t>Infrastrukturę drogową bezpośrednio dotknięt</w:t>
      </w:r>
      <w:r w:rsidR="5DFB7DC3" w:rsidRPr="3915EE4C">
        <w:rPr>
          <w:lang w:eastAsia="pl-PL"/>
        </w:rPr>
        <w:t>ą</w:t>
      </w:r>
      <w:r w:rsidRPr="3915EE4C">
        <w:rPr>
          <w:lang w:eastAsia="pl-PL"/>
        </w:rPr>
        <w:t xml:space="preserve"> skutkami powodzi. </w:t>
      </w:r>
    </w:p>
    <w:p w14:paraId="728DEBDF" w14:textId="2B9527C8" w:rsidR="00940073" w:rsidRPr="008230B7" w:rsidRDefault="00940073" w:rsidP="00150270">
      <w:pPr>
        <w:pStyle w:val="Akapitzlist"/>
        <w:numPr>
          <w:ilvl w:val="0"/>
          <w:numId w:val="41"/>
        </w:numPr>
        <w:rPr>
          <w:lang w:eastAsia="pl-PL"/>
        </w:rPr>
      </w:pPr>
      <w:r w:rsidRPr="3915EE4C">
        <w:rPr>
          <w:lang w:eastAsia="pl-PL"/>
        </w:rPr>
        <w:t xml:space="preserve">Kontynuację uszkodzonej infrastruktury drogowej, należącej do </w:t>
      </w:r>
      <w:r w:rsidR="001056FE">
        <w:rPr>
          <w:lang w:eastAsia="pl-PL"/>
        </w:rPr>
        <w:t>drogi o tym samym numerze</w:t>
      </w:r>
      <w:r w:rsidRPr="3915EE4C">
        <w:rPr>
          <w:lang w:eastAsia="pl-PL"/>
        </w:rPr>
        <w:t xml:space="preserve"> (tj. drogi gminnej lub powiatowej o tym samym numerze).</w:t>
      </w:r>
    </w:p>
    <w:p w14:paraId="499EB3BC" w14:textId="77777777" w:rsidR="00940073" w:rsidRPr="008230B7" w:rsidRDefault="00940073" w:rsidP="00150270">
      <w:pPr>
        <w:pStyle w:val="Akapitzlist"/>
        <w:numPr>
          <w:ilvl w:val="0"/>
          <w:numId w:val="41"/>
        </w:numPr>
        <w:rPr>
          <w:lang w:eastAsia="pl-PL"/>
        </w:rPr>
      </w:pPr>
      <w:r w:rsidRPr="008230B7">
        <w:rPr>
          <w:lang w:eastAsia="pl-PL"/>
        </w:rPr>
        <w:t xml:space="preserve">Odcinki funkcjonalnie powiązane z uszkodzonym fragmentem - niezbędne do zachowania ciągłości układu drogowego. </w:t>
      </w:r>
    </w:p>
    <w:p w14:paraId="68621886" w14:textId="77777777" w:rsidR="00940073" w:rsidRPr="008230B7" w:rsidRDefault="00940073" w:rsidP="00150270">
      <w:pPr>
        <w:pStyle w:val="Akapitzlist"/>
        <w:rPr>
          <w:lang w:eastAsia="pl-PL"/>
        </w:rPr>
      </w:pPr>
      <w:r w:rsidRPr="008230B7">
        <w:rPr>
          <w:lang w:eastAsia="pl-PL"/>
        </w:rPr>
        <w:t>W uzasadnionych przypadkach, zakres projektu może zostać rozszerzony o nieuszkodzone odcinki dróg o innych numerach, które łączą się z uszkodzonym fragmentem poprzez najbliższe skrzyżowanie (od uszkodzonego odcinka</w:t>
      </w:r>
      <w:r w:rsidRPr="008230B7">
        <w:rPr>
          <w:rStyle w:val="Odwoanieprzypisudolnego"/>
          <w:rFonts w:eastAsia="Times New Roman" w:cstheme="minorHAnsi"/>
          <w:szCs w:val="24"/>
          <w:lang w:eastAsia="pl-PL"/>
        </w:rPr>
        <w:footnoteReference w:id="3"/>
      </w:r>
      <w:r w:rsidRPr="008230B7">
        <w:rPr>
          <w:lang w:eastAsia="pl-PL"/>
        </w:rPr>
        <w:t xml:space="preserve">) i tworzą z nim spójny ciąg komunikacyjny o znaczeniu lokalnym. </w:t>
      </w:r>
    </w:p>
    <w:p w14:paraId="1653B5BB" w14:textId="77777777" w:rsidR="00940073" w:rsidRPr="008230B7" w:rsidRDefault="00940073" w:rsidP="00150270">
      <w:pPr>
        <w:pStyle w:val="Akapitzlist"/>
        <w:rPr>
          <w:lang w:eastAsia="pl-PL"/>
        </w:rPr>
      </w:pPr>
      <w:r w:rsidRPr="008230B7">
        <w:rPr>
          <w:lang w:eastAsia="pl-PL"/>
        </w:rPr>
        <w:t>Koniec kwalifikowalności tak wyznaczonego ciągu może zostać określony maksymalnie do najbliższego skrzyżowania z drogą wyższego rzędu.</w:t>
      </w:r>
    </w:p>
    <w:p w14:paraId="246F93BD" w14:textId="6CBA9D88" w:rsidR="00940073" w:rsidRPr="008230B7" w:rsidRDefault="00940073" w:rsidP="00150270">
      <w:pPr>
        <w:pStyle w:val="Akapitzlist"/>
        <w:rPr>
          <w:lang w:eastAsia="pl-PL"/>
        </w:rPr>
      </w:pPr>
      <w:r w:rsidRPr="008230B7">
        <w:rPr>
          <w:lang w:eastAsia="pl-PL"/>
        </w:rPr>
        <w:t xml:space="preserve">Nie jest wymagane, aby cały ciąg drogowy był objęty robotami budowlanymi, ani aby bezpośrednio łączył się z uszkodzonym odcinkiem, o ile odcinki pośrednie spełniają parametry techniczne określone dla działania 14.1 (tj. nośność 115 </w:t>
      </w:r>
      <w:proofErr w:type="spellStart"/>
      <w:r w:rsidRPr="008230B7">
        <w:rPr>
          <w:lang w:eastAsia="pl-PL"/>
        </w:rPr>
        <w:t>kN</w:t>
      </w:r>
      <w:proofErr w:type="spellEnd"/>
      <w:r w:rsidRPr="008230B7">
        <w:rPr>
          <w:lang w:eastAsia="pl-PL"/>
        </w:rPr>
        <w:t>/oś).</w:t>
      </w:r>
    </w:p>
    <w:p w14:paraId="1C4283AA" w14:textId="77777777" w:rsidR="00DC18BF" w:rsidRDefault="00940073" w:rsidP="00150270">
      <w:pPr>
        <w:pStyle w:val="Akapitzlist"/>
        <w:rPr>
          <w:lang w:eastAsia="pl-PL"/>
        </w:rPr>
      </w:pPr>
      <w:r w:rsidRPr="008230B7">
        <w:rPr>
          <w:lang w:eastAsia="pl-PL"/>
        </w:rPr>
        <w:lastRenderedPageBreak/>
        <w:t>Tak wyznaczony ciąg komunikacyjny powinien zapewniać</w:t>
      </w:r>
      <w:r w:rsidR="00DC18BF">
        <w:rPr>
          <w:lang w:eastAsia="pl-PL"/>
        </w:rPr>
        <w:t>:</w:t>
      </w:r>
    </w:p>
    <w:p w14:paraId="268887DF" w14:textId="77777777" w:rsidR="00DC18BF" w:rsidRDefault="00DC18BF" w:rsidP="00150270">
      <w:pPr>
        <w:pStyle w:val="Akapitzlist"/>
        <w:rPr>
          <w:lang w:eastAsia="pl-PL"/>
        </w:rPr>
      </w:pPr>
      <w:r>
        <w:rPr>
          <w:lang w:eastAsia="pl-PL"/>
        </w:rPr>
        <w:t xml:space="preserve">- </w:t>
      </w:r>
      <w:r w:rsidR="00940073" w:rsidRPr="008230B7">
        <w:rPr>
          <w:lang w:eastAsia="pl-PL"/>
        </w:rPr>
        <w:t>dostępność komunikacyjną</w:t>
      </w:r>
      <w:r>
        <w:rPr>
          <w:lang w:eastAsia="pl-PL"/>
        </w:rPr>
        <w:t xml:space="preserve">, </w:t>
      </w:r>
    </w:p>
    <w:p w14:paraId="2A2376A5" w14:textId="77777777" w:rsidR="00463D3F" w:rsidRDefault="00DC18BF" w:rsidP="00463D3F">
      <w:pPr>
        <w:pStyle w:val="Akapitzlist"/>
        <w:rPr>
          <w:lang w:eastAsia="pl-PL"/>
        </w:rPr>
      </w:pPr>
      <w:r>
        <w:rPr>
          <w:lang w:eastAsia="pl-PL"/>
        </w:rPr>
        <w:t xml:space="preserve">- </w:t>
      </w:r>
      <w:r w:rsidR="00940073" w:rsidRPr="008230B7">
        <w:rPr>
          <w:lang w:eastAsia="pl-PL"/>
        </w:rPr>
        <w:t xml:space="preserve">umożliwiać ewakuację ludności oraz </w:t>
      </w:r>
    </w:p>
    <w:p w14:paraId="3909FD5C" w14:textId="554EC8BB" w:rsidR="00940073" w:rsidRPr="008230B7" w:rsidRDefault="00463D3F" w:rsidP="00463D3F">
      <w:pPr>
        <w:pStyle w:val="Akapitzlist"/>
        <w:rPr>
          <w:lang w:eastAsia="pl-PL"/>
        </w:rPr>
      </w:pPr>
      <w:r>
        <w:rPr>
          <w:lang w:eastAsia="pl-PL"/>
        </w:rPr>
        <w:t xml:space="preserve">- </w:t>
      </w:r>
      <w:r w:rsidR="00940073" w:rsidRPr="008230B7">
        <w:rPr>
          <w:lang w:eastAsia="pl-PL"/>
        </w:rPr>
        <w:t>dojazd służb ratunkowych do terenów zabudowanych i mieszkalnych narażonych na powódź.</w:t>
      </w:r>
    </w:p>
    <w:p w14:paraId="4F498C2F" w14:textId="77777777" w:rsidR="00940073" w:rsidRPr="008230B7" w:rsidRDefault="00940073" w:rsidP="00ED2154">
      <w:pPr>
        <w:ind w:left="426"/>
        <w:rPr>
          <w:rFonts w:cstheme="minorHAnsi"/>
          <w:szCs w:val="24"/>
        </w:rPr>
      </w:pPr>
      <w:r w:rsidRPr="008230B7">
        <w:rPr>
          <w:rFonts w:cstheme="minorHAnsi"/>
          <w:szCs w:val="24"/>
        </w:rPr>
        <w:t>Dopuszcza się możliwość realizacji projektu polegającego na odtworzeniu zniszczonej drogi w nowym przebiegu, jeżeli odbudowa w dotychczasowej lokalizacji jest nieuzasadniona lub niemożliwa z powodu zagrożenia potencjalnymi klęskami żywiołowymi.</w:t>
      </w:r>
    </w:p>
    <w:p w14:paraId="5393D824" w14:textId="437497CD" w:rsidR="00940073" w:rsidRDefault="00940073" w:rsidP="00ED2154">
      <w:pPr>
        <w:ind w:left="426"/>
        <w:rPr>
          <w:rFonts w:cstheme="minorHAnsi"/>
          <w:szCs w:val="24"/>
        </w:rPr>
      </w:pPr>
      <w:r w:rsidRPr="008230B7">
        <w:rPr>
          <w:rFonts w:cstheme="minorHAnsi"/>
          <w:szCs w:val="24"/>
        </w:rPr>
        <w:t>Zasadność zmiany przebiegu drogi musi zostać potwierdzona ekspertyzą lub opinią właściwego specjalisty lub zarządcy drogi oraz mapą sytuacyjną, z których wynika, że nowy odcinek zapewnia ciągłość funkcjonalną i dostępność komunikacyjną dla obszarów obsługiwanych przez zniszczoną drogę.</w:t>
      </w:r>
    </w:p>
    <w:p w14:paraId="6AF05C9A" w14:textId="4EEA6B7B" w:rsidR="00A71EE3" w:rsidRPr="008230B7" w:rsidRDefault="00A71EE3" w:rsidP="3915EE4C">
      <w:pPr>
        <w:ind w:left="426"/>
      </w:pPr>
      <w:r w:rsidRPr="3915EE4C">
        <w:t>Z uwagi na to, że zakres uszkodzonych dróg wskazany w wojewódzkich protokołach szkód, może zostać częściowo sfinansowany z innych źródeł, do wyznaczonego na potrzeby projektu ciągu komunikacyjnego uwzględnia się również odcinki,  wskazane w protokole szkód, które już otrzymały wsparcie, a nie są objęte projektem współfinansowanym w ramach FE SL na lata 2021-2027.</w:t>
      </w:r>
    </w:p>
    <w:p w14:paraId="25E9EBDD" w14:textId="7AD0719A" w:rsidR="00836630" w:rsidRDefault="00836630" w:rsidP="00981A69">
      <w:pPr>
        <w:pStyle w:val="Akapitzlist"/>
        <w:numPr>
          <w:ilvl w:val="0"/>
          <w:numId w:val="44"/>
        </w:numPr>
        <w:ind w:left="426"/>
      </w:pPr>
      <w:r>
        <w:t>Dofinansowanie może obejmować wyłącznie inwestycje lub części inwestycji, które nie zostały sfinansowane z innych źródeł publicznych ani prywatnych, w tym ze środków pochodzących z wypłaconego ubezpieczenia.</w:t>
      </w:r>
      <w:r w:rsidR="008D6B37">
        <w:t xml:space="preserve"> </w:t>
      </w:r>
    </w:p>
    <w:p w14:paraId="72839DBA" w14:textId="7B5EA0E2" w:rsidR="00836630" w:rsidRDefault="00836630" w:rsidP="00981A69">
      <w:pPr>
        <w:pStyle w:val="Akapitzlist"/>
        <w:numPr>
          <w:ilvl w:val="0"/>
          <w:numId w:val="44"/>
        </w:numPr>
        <w:ind w:left="426"/>
      </w:pPr>
      <w:r>
        <w:t>Wszystkie projekty dotyczące dróg gminnych i powiatowych muszą uwzględniać dostosowanie dróg do nacisku osi o wartości 11,5 tony.</w:t>
      </w:r>
    </w:p>
    <w:p w14:paraId="07FD996B" w14:textId="77777777" w:rsidR="00B41CD9" w:rsidRDefault="00B41CD9" w:rsidP="00981A69">
      <w:pPr>
        <w:pStyle w:val="Akapitzlist"/>
        <w:numPr>
          <w:ilvl w:val="0"/>
          <w:numId w:val="44"/>
        </w:numPr>
        <w:ind w:left="426"/>
      </w:pPr>
      <w:r>
        <w:t>Jeżeli to możliwe i zasadne, musisz podjąć działania zapewniające powszechnie dostępne, przejrzyste i aktualizowane przez kompetentne instytucje informacje w językach obcych (angielski/ukraiński).</w:t>
      </w:r>
    </w:p>
    <w:p w14:paraId="784EF443" w14:textId="7CC0F6AA" w:rsidR="00B41CD9" w:rsidRPr="00121384" w:rsidRDefault="00440CA8" w:rsidP="00981A69">
      <w:pPr>
        <w:pStyle w:val="Akapitzlist"/>
        <w:numPr>
          <w:ilvl w:val="0"/>
          <w:numId w:val="44"/>
        </w:numPr>
        <w:ind w:left="426"/>
      </w:pPr>
      <w:r w:rsidRPr="00440CA8">
        <w:t xml:space="preserve">Przy projektowaniu i wdrażaniu przedsięwzięć infrastrukturalnych i organizacyjnych z zakresu mobilności będą podejmowane obligatoryjne działania na rzecz wyrównywania szans oraz przeciwdziałania dyskryminacji w dostępie do infrastruktury i usług transportu miejskiego, zgodnie ze standardem: transportowym (w szczególności dla infrastruktury komunikacji publicznej oraz taboru miejskiego), architektonicznym (m.in. odnośnie do stanowisk postojowych, przemieszczania się oraz oznaczeń wewnątrz i na zewnątrz budynków) oraz </w:t>
      </w:r>
      <w:r w:rsidRPr="00440CA8">
        <w:lastRenderedPageBreak/>
        <w:t>cyfrowym (odnośnie do sprzętu informatycznego szczególnego przeznaczenia, np. biletomatów)</w:t>
      </w:r>
      <w:r w:rsidRPr="00440CA8">
        <w:rPr>
          <w:vertAlign w:val="superscript"/>
        </w:rPr>
        <w:footnoteReference w:id="4"/>
      </w:r>
    </w:p>
    <w:p w14:paraId="11C3C0E3" w14:textId="00A4CB17" w:rsidR="00121384" w:rsidRPr="00121384" w:rsidRDefault="00121384" w:rsidP="00981A69">
      <w:pPr>
        <w:pStyle w:val="Akapitzlist"/>
        <w:numPr>
          <w:ilvl w:val="0"/>
          <w:numId w:val="44"/>
        </w:numPr>
        <w:ind w:left="426"/>
      </w:pPr>
      <w: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33F625B1" w14:textId="77777777" w:rsidR="00121384" w:rsidRDefault="00121384" w:rsidP="00121384">
      <w:r>
        <w:t xml:space="preserve">Preferowane warunki wsparcia: </w:t>
      </w:r>
    </w:p>
    <w:p w14:paraId="11FD8AA7" w14:textId="43A67ED8" w:rsidR="00121384" w:rsidRDefault="00121384" w:rsidP="00981A69">
      <w:pPr>
        <w:pStyle w:val="Akapitzlist"/>
        <w:numPr>
          <w:ilvl w:val="0"/>
          <w:numId w:val="39"/>
        </w:numPr>
      </w:pPr>
      <w:r>
        <w:t xml:space="preserve">Przy realizacji inwestycji zalecane jest wykorzystanie dobrych praktyk w zakresie ochrony środowiska, w szczególności standardów ochrony drzew [Standardy Ochrony Drzew - Narodowy Fundusz Ochrony Środowiska i Gospodarki Wodnej -  https://www.gov.pl/web/nfosigw/standardy-ochrony-drzew, </w:t>
      </w:r>
      <w:hyperlink r:id="rId23" w:history="1">
        <w:r w:rsidRPr="00D73CC7">
          <w:rPr>
            <w:rStyle w:val="Hipercze"/>
          </w:rPr>
          <w:t>http://drzewa.org.pl/standardy</w:t>
        </w:r>
      </w:hyperlink>
      <w:r>
        <w:t>].</w:t>
      </w:r>
    </w:p>
    <w:p w14:paraId="2F443B2C" w14:textId="44A7CDD2" w:rsidR="00121384" w:rsidRDefault="00121384" w:rsidP="00150270">
      <w:pPr>
        <w:pStyle w:val="Akapitzlist"/>
        <w:numPr>
          <w:ilvl w:val="0"/>
          <w:numId w:val="39"/>
        </w:numPr>
      </w:pPr>
      <w:r>
        <w:t xml:space="preserve">W projektach, w których będzie to zasadne i możliwe zostaną zastosowane rozwiązania </w:t>
      </w:r>
      <w:r w:rsidR="65B8A751">
        <w:t>z</w:t>
      </w:r>
      <w:r>
        <w:t xml:space="preserve"> zakres</w:t>
      </w:r>
      <w:r w:rsidR="75C81719">
        <w:t>u</w:t>
      </w:r>
      <w:r>
        <w:t xml:space="preserve"> obiegu cyrkularnego (w tym efektywności energetycznej i użycia energii ze źródeł odnawialnych)</w:t>
      </w:r>
      <w:r w:rsidR="5A2E6F26">
        <w:t>,</w:t>
      </w:r>
      <w:r>
        <w:t xml:space="preserve"> jak również elementy sprzyjające adaptacji do zmian klimatu. W szczególności, tam gdzie jest to technicznie możliwe, realizowane projekty w zakresie infrastruktury drogowej będą obejmowały zapewnienie retencji i podczyszczania wód opadowych poprzez wykorzystanie zielonej i niebieskiej infrastruktury. </w:t>
      </w:r>
    </w:p>
    <w:p w14:paraId="1BAB7C85" w14:textId="12E77ED4" w:rsidR="004B5BEE" w:rsidRDefault="004B5BEE" w:rsidP="00150270">
      <w:pPr>
        <w:pStyle w:val="Akapitzlist"/>
        <w:numPr>
          <w:ilvl w:val="0"/>
          <w:numId w:val="39"/>
        </w:numPr>
      </w:pPr>
      <w:r w:rsidRPr="004B5BEE">
        <w:t>Premiowane będą projekty, które mają istotny wkład w realizację jednego z sześciu celów środowiskowych określanych w rozporządzeniu (UE) 2020/852.</w:t>
      </w:r>
    </w:p>
    <w:p w14:paraId="55F94C47" w14:textId="5D1BBEF4" w:rsidR="004B5BEE" w:rsidRDefault="004B5BEE" w:rsidP="00150270">
      <w:pPr>
        <w:pStyle w:val="Akapitzlist"/>
        <w:numPr>
          <w:ilvl w:val="0"/>
          <w:numId w:val="39"/>
        </w:numPr>
      </w:pPr>
      <w:r w:rsidRPr="004B5BEE">
        <w:t>Preferowana będzie realizacja zielonych zamówień publicznych w oparciu o opracowane przez KE wspólne kryteria możliwe do stosowania w państwach członkowskich Unii.</w:t>
      </w:r>
    </w:p>
    <w:p w14:paraId="0C79864A" w14:textId="4E939689" w:rsidR="00F44B10" w:rsidRDefault="00F44B10" w:rsidP="00150270">
      <w:pPr>
        <w:pStyle w:val="Akapitzlist"/>
        <w:numPr>
          <w:ilvl w:val="0"/>
          <w:numId w:val="39"/>
        </w:numPr>
      </w:pPr>
      <w:r w:rsidRPr="00F44B10">
        <w:t xml:space="preserve">Możliwa będzie realizacja przedsięwzięć z partnerami mającymi siedzibę poza województwem śląskim. Przewiduje się, że działania związane z wsparciem infrastruktury transportowej będą komplementarne do działań przewidzianych </w:t>
      </w:r>
      <w:r w:rsidRPr="00F44B10">
        <w:lastRenderedPageBreak/>
        <w:t xml:space="preserve">w programach </w:t>
      </w:r>
      <w:proofErr w:type="spellStart"/>
      <w:r w:rsidRPr="00F44B10">
        <w:t>Interreg</w:t>
      </w:r>
      <w:proofErr w:type="spellEnd"/>
      <w:r w:rsidRPr="00F44B10">
        <w:t xml:space="preserve"> Europa oraz Europa Środkowa związanych z zieloną inteligentną mobilnością szczególnie w zakresie czerpania dobrych praktyk wynikających z projektów realizowanych z ww. programów. Ponadto wspierane będą komplementarne działania związane z infrastrukturą drogową finansowaną ze środków programów </w:t>
      </w:r>
      <w:proofErr w:type="spellStart"/>
      <w:r w:rsidRPr="00F44B10">
        <w:t>Interreg</w:t>
      </w:r>
      <w:proofErr w:type="spellEnd"/>
      <w:r w:rsidRPr="00F44B10">
        <w:t xml:space="preserve"> Czechy–Polska oraz Słowacja–Polska.</w:t>
      </w:r>
    </w:p>
    <w:p w14:paraId="2AD2889A" w14:textId="347E6DCB" w:rsidR="00E72D9B" w:rsidRPr="00E91832" w:rsidDel="00B24AAC" w:rsidRDefault="2E85F236" w:rsidP="00150270">
      <w:pPr>
        <w:pStyle w:val="Nagwek2"/>
        <w:numPr>
          <w:ilvl w:val="1"/>
          <w:numId w:val="44"/>
        </w:numPr>
        <w:spacing w:after="240"/>
        <w:ind w:left="646"/>
      </w:pPr>
      <w:bookmarkStart w:id="19" w:name="_Toc114570836"/>
      <w:bookmarkStart w:id="20" w:name="_Toc181002419"/>
      <w:r w:rsidRPr="00E91832">
        <w:t>Kto skorzysta na realizacji projektu</w:t>
      </w:r>
      <w:bookmarkEnd w:id="19"/>
      <w:r w:rsidR="002E3880">
        <w:t xml:space="preserve"> – nie dotyczy</w:t>
      </w:r>
      <w:bookmarkEnd w:id="20"/>
    </w:p>
    <w:p w14:paraId="69CF3CC2" w14:textId="77777777" w:rsidR="00E72D9B" w:rsidRDefault="2E85F236" w:rsidP="00150270">
      <w:pPr>
        <w:pStyle w:val="Nagwek2"/>
        <w:numPr>
          <w:ilvl w:val="1"/>
          <w:numId w:val="44"/>
        </w:numPr>
        <w:spacing w:after="240"/>
        <w:ind w:left="646"/>
      </w:pPr>
      <w:bookmarkStart w:id="21" w:name="_Toc111010158"/>
      <w:bookmarkStart w:id="22" w:name="_Toc111010215"/>
      <w:bookmarkStart w:id="23" w:name="_Toc114570837"/>
      <w:bookmarkStart w:id="24" w:name="_Toc181002420"/>
      <w:r>
        <w:t>Informacje dotyczące partnerstwa</w:t>
      </w:r>
      <w:bookmarkEnd w:id="21"/>
      <w:bookmarkEnd w:id="22"/>
      <w:bookmarkEnd w:id="23"/>
      <w:bookmarkEnd w:id="24"/>
    </w:p>
    <w:p w14:paraId="4E5ABCE3" w14:textId="77777777" w:rsidR="00D64D1E" w:rsidRPr="006304C5" w:rsidRDefault="00D64D1E" w:rsidP="006304C5">
      <w:pPr>
        <w:spacing w:after="0"/>
        <w:rPr>
          <w:rFonts w:eastAsia="Arial" w:cs="Arial"/>
          <w:szCs w:val="24"/>
        </w:rPr>
      </w:pPr>
      <w:bookmarkStart w:id="25" w:name="_Toc111010159"/>
      <w:bookmarkStart w:id="26" w:name="_Toc111010216"/>
      <w:bookmarkStart w:id="27"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754101">
      <w:pPr>
        <w:pStyle w:val="Nagwek2"/>
        <w:numPr>
          <w:ilvl w:val="1"/>
          <w:numId w:val="44"/>
        </w:numPr>
        <w:spacing w:after="240"/>
        <w:ind w:left="426"/>
      </w:pPr>
      <w:bookmarkStart w:id="28" w:name="_Toc181002421"/>
      <w:r>
        <w:lastRenderedPageBreak/>
        <w:t>Zgodność z zasadami</w:t>
      </w:r>
      <w:r w:rsidR="00F86F85">
        <w:t xml:space="preserve"> horyzontalnymi</w:t>
      </w:r>
      <w:bookmarkEnd w:id="28"/>
    </w:p>
    <w:bookmarkEnd w:id="25"/>
    <w:bookmarkEnd w:id="26"/>
    <w:bookmarkEnd w:id="27"/>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150270">
      <w:pPr>
        <w:pStyle w:val="Akapitzlist"/>
        <w:rPr>
          <w:rStyle w:val="Hipercze"/>
          <w:rFonts w:eastAsia="Arial" w:cstheme="minorBidi"/>
          <w:bCs w:val="0"/>
          <w:color w:val="auto"/>
          <w:u w:val="none"/>
        </w:rPr>
      </w:pPr>
      <w:r>
        <w:rPr>
          <w:rStyle w:val="Hipercze"/>
        </w:rPr>
        <w:br w:type="page"/>
      </w:r>
    </w:p>
    <w:p w14:paraId="1F195108" w14:textId="67201CD0" w:rsidR="00E72D9B" w:rsidRPr="00E72D9B" w:rsidRDefault="00E72D9B" w:rsidP="00150270">
      <w:pPr>
        <w:pStyle w:val="Nagwek1"/>
        <w:numPr>
          <w:ilvl w:val="0"/>
          <w:numId w:val="44"/>
        </w:numPr>
      </w:pPr>
      <w:bookmarkStart w:id="29" w:name="_Toc181002422"/>
      <w:r w:rsidRPr="00E72D9B">
        <w:lastRenderedPageBreak/>
        <w:t>Informacje finansowe</w:t>
      </w:r>
      <w:bookmarkEnd w:id="29"/>
      <w:r w:rsidRPr="00E72D9B">
        <w:t xml:space="preserve"> </w:t>
      </w:r>
    </w:p>
    <w:p w14:paraId="29466F68" w14:textId="77777777" w:rsidR="00E72D9B" w:rsidRDefault="00DA2623" w:rsidP="000463A9">
      <w:pPr>
        <w:pStyle w:val="Nagwek2"/>
        <w:numPr>
          <w:ilvl w:val="1"/>
          <w:numId w:val="17"/>
        </w:numPr>
        <w:spacing w:after="240"/>
        <w:ind w:left="646"/>
      </w:pPr>
      <w:bookmarkStart w:id="30" w:name="_Toc181002423"/>
      <w:r>
        <w:t>Podstawowe informacje finansowe</w:t>
      </w:r>
      <w:bookmarkEnd w:id="30"/>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309"/>
        <w:gridCol w:w="5002"/>
      </w:tblGrid>
      <w:tr w:rsidR="00D90362" w:rsidRPr="00A22072" w14:paraId="7C56E3AF" w14:textId="77777777" w:rsidTr="3915EE4C">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lastRenderedPageBreak/>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5FF8DD04" w14:textId="77777777" w:rsidR="007D3DA3" w:rsidRDefault="0E59EB3A" w:rsidP="00492FD9">
            <w:pPr>
              <w:spacing w:line="240" w:lineRule="auto"/>
              <w:rPr>
                <w:color w:val="2E74B5" w:themeColor="accent1" w:themeShade="BF"/>
              </w:rPr>
            </w:pPr>
            <w:r w:rsidRPr="001652B0">
              <w:rPr>
                <w:rFonts w:eastAsia="Times New Roman" w:cs="Arial"/>
                <w:iCs/>
                <w:color w:val="2E74B5" w:themeColor="accent1" w:themeShade="BF"/>
                <w:lang w:eastAsia="pl-PL"/>
              </w:rPr>
              <w:t xml:space="preserve">– wkład Unii Europejskiej </w:t>
            </w:r>
            <w:r w:rsidR="12EA57BE" w:rsidRPr="001652B0">
              <w:rPr>
                <w:rFonts w:eastAsia="Times New Roman" w:cs="Arial"/>
                <w:iCs/>
                <w:color w:val="2E74B5" w:themeColor="accent1" w:themeShade="BF"/>
                <w:lang w:eastAsia="pl-PL"/>
              </w:rPr>
              <w:t xml:space="preserve">- </w:t>
            </w:r>
            <w:r w:rsidRPr="001652B0">
              <w:rPr>
                <w:rFonts w:eastAsia="Times New Roman" w:cs="Arial"/>
                <w:iCs/>
                <w:color w:val="2E74B5" w:themeColor="accent1" w:themeShade="BF"/>
                <w:lang w:eastAsia="pl-PL"/>
              </w:rPr>
              <w:t>kwota podana w PLN</w:t>
            </w:r>
            <w:r w:rsidR="44BABED2" w:rsidRPr="00400F84">
              <w:rPr>
                <w:color w:val="2E74B5" w:themeColor="accent1" w:themeShade="BF"/>
              </w:rPr>
              <w:t xml:space="preserve"> </w:t>
            </w:r>
          </w:p>
          <w:p w14:paraId="4F7F23DC" w14:textId="5C871316" w:rsidR="007D3DA3" w:rsidRPr="00BF7C67" w:rsidRDefault="00BF7C67" w:rsidP="007D3DA3">
            <w:pPr>
              <w:spacing w:line="240" w:lineRule="auto"/>
              <w:rPr>
                <w:rFonts w:ascii="Calibri" w:hAnsi="Calibri" w:cs="Calibri"/>
                <w:color w:val="000000"/>
                <w:sz w:val="22"/>
              </w:rPr>
            </w:pPr>
            <w:r w:rsidRPr="00BF7C67">
              <w:t>243</w:t>
            </w:r>
            <w:r>
              <w:t> </w:t>
            </w:r>
            <w:r w:rsidRPr="00BF7C67">
              <w:t>791</w:t>
            </w:r>
            <w:r w:rsidR="000D20CA">
              <w:t> </w:t>
            </w:r>
            <w:r w:rsidRPr="00BF7C67">
              <w:t>400</w:t>
            </w:r>
            <w:r w:rsidR="000D20CA">
              <w:t>,00</w:t>
            </w:r>
            <w:r>
              <w:rPr>
                <w:rFonts w:ascii="Calibri" w:hAnsi="Calibri" w:cs="Calibri"/>
                <w:color w:val="000000"/>
                <w:sz w:val="22"/>
              </w:rPr>
              <w:t xml:space="preserve"> </w:t>
            </w:r>
            <w:r w:rsidR="007D3DA3" w:rsidRPr="008A1393">
              <w:t>PLN</w:t>
            </w:r>
          </w:p>
          <w:p w14:paraId="69F9B41E" w14:textId="630CC87B" w:rsidR="007D3DA3" w:rsidRDefault="007D3DA3" w:rsidP="007D3DA3">
            <w:pPr>
              <w:spacing w:line="240" w:lineRule="auto"/>
            </w:pPr>
            <w:r w:rsidRPr="008A1393">
              <w:t>58 000 000 EUR</w:t>
            </w:r>
            <w:r w:rsidR="00664EFD" w:rsidRPr="008A1393">
              <w:t>*</w:t>
            </w:r>
          </w:p>
          <w:p w14:paraId="62D97DE5" w14:textId="77777777" w:rsidR="007D3DA3" w:rsidRDefault="007D3DA3" w:rsidP="00492FD9">
            <w:pPr>
              <w:spacing w:line="240" w:lineRule="auto"/>
            </w:pPr>
          </w:p>
          <w:p w14:paraId="0CB4DDBE" w14:textId="620B0A77" w:rsidR="00D90362" w:rsidRDefault="44BABED2" w:rsidP="00492FD9">
            <w:pPr>
              <w:spacing w:line="240" w:lineRule="auto"/>
              <w:rPr>
                <w:rFonts w:eastAsia="Times New Roman" w:cs="Arial"/>
                <w:iCs/>
                <w:color w:val="2E74B5" w:themeColor="accent1" w:themeShade="BF"/>
                <w:lang w:eastAsia="pl-PL"/>
              </w:rPr>
            </w:pPr>
            <w:r>
              <w:t>(</w:t>
            </w:r>
            <w:r w:rsidRPr="00A32720">
              <w:rPr>
                <w:szCs w:val="24"/>
              </w:rPr>
              <w:t>Wartość w PLN określ</w:t>
            </w:r>
            <w:r w:rsidR="04D16B21" w:rsidRPr="00A32720">
              <w:rPr>
                <w:szCs w:val="24"/>
              </w:rPr>
              <w:t>ono</w:t>
            </w:r>
            <w:r w:rsidRPr="00A32720">
              <w:rPr>
                <w:szCs w:val="24"/>
              </w:rPr>
              <w:t xml:space="preserve"> według kursu przyjętego zgodnie z metod</w:t>
            </w:r>
            <w:r w:rsidR="51FCB869" w:rsidRPr="00A32720">
              <w:rPr>
                <w:szCs w:val="24"/>
              </w:rPr>
              <w:t>ą</w:t>
            </w:r>
            <w:r w:rsidRPr="00A32720">
              <w:rPr>
                <w:szCs w:val="24"/>
              </w:rPr>
              <w:t xml:space="preserve"> wskazaną w algorytmie przeliczania środków, który stanowi załącznik do Kontraktu Programowego zawartego pomiędzy Zarządem Województwa Śląskiego</w:t>
            </w:r>
            <w:r w:rsidR="007E2A50" w:rsidRPr="00A32720">
              <w:rPr>
                <w:szCs w:val="24"/>
              </w:rPr>
              <w:t>,</w:t>
            </w:r>
            <w:r w:rsidRPr="00A32720">
              <w:rPr>
                <w:szCs w:val="24"/>
              </w:rPr>
              <w:t xml:space="preserve"> a Ministrem właściwym ds. rozwoju regionalnego</w:t>
            </w:r>
            <w:r w:rsidR="001E19BE" w:rsidRPr="00A32720">
              <w:rPr>
                <w:szCs w:val="24"/>
              </w:rPr>
              <w:t xml:space="preserve"> </w:t>
            </w:r>
            <w:r w:rsidR="51FCB869" w:rsidRPr="00A32720">
              <w:rPr>
                <w:szCs w:val="24"/>
              </w:rPr>
              <w:t>-</w:t>
            </w:r>
            <w:r w:rsidR="001E19BE" w:rsidRPr="00A32720">
              <w:rPr>
                <w:szCs w:val="24"/>
              </w:rPr>
              <w:t xml:space="preserve"> </w:t>
            </w:r>
            <w:r w:rsidR="51FCB869" w:rsidRPr="00A32720">
              <w:rPr>
                <w:szCs w:val="24"/>
              </w:rPr>
              <w:t>tj. 4,</w:t>
            </w:r>
            <w:r w:rsidR="00BA1BDD" w:rsidRPr="00BA1BDD">
              <w:rPr>
                <w:szCs w:val="24"/>
              </w:rPr>
              <w:t>2</w:t>
            </w:r>
            <w:r w:rsidR="00BF7C67">
              <w:rPr>
                <w:szCs w:val="24"/>
              </w:rPr>
              <w:t>033</w:t>
            </w:r>
            <w:r w:rsidR="00BA1BDD">
              <w:rPr>
                <w:szCs w:val="24"/>
              </w:rPr>
              <w:t xml:space="preserve"> </w:t>
            </w:r>
            <w:r w:rsidR="00204F7C" w:rsidRPr="00A32720">
              <w:rPr>
                <w:szCs w:val="24"/>
              </w:rPr>
              <w:t>PLN</w:t>
            </w:r>
            <w:r w:rsidRPr="00A32720">
              <w:rPr>
                <w:szCs w:val="24"/>
              </w:rPr>
              <w:t>)</w:t>
            </w:r>
            <w:r w:rsidR="23E34F04" w:rsidRPr="00A32720">
              <w:rPr>
                <w:rStyle w:val="Odwoanieprzypisudolnego"/>
                <w:rFonts w:eastAsia="Times New Roman" w:cs="Arial"/>
                <w:iCs/>
                <w:color w:val="A6A6A6" w:themeColor="background1" w:themeShade="A6"/>
                <w:szCs w:val="24"/>
                <w:lang w:eastAsia="pl-PL"/>
              </w:rPr>
              <w:t xml:space="preserve"> </w:t>
            </w:r>
            <w:r w:rsidR="23E34F04" w:rsidRPr="00A32720">
              <w:rPr>
                <w:rFonts w:eastAsia="Times New Roman" w:cs="Arial"/>
                <w:iCs/>
                <w:color w:val="2E74B5" w:themeColor="accent1" w:themeShade="BF"/>
                <w:szCs w:val="24"/>
                <w:lang w:eastAsia="pl-PL"/>
              </w:rPr>
              <w:t>i</w:t>
            </w:r>
            <w:r w:rsidR="23E34F04" w:rsidRPr="00A32720">
              <w:rPr>
                <w:rFonts w:eastAsia="Times New Roman" w:cs="Arial"/>
                <w:i/>
                <w:iCs/>
                <w:color w:val="A6A6A6" w:themeColor="background1" w:themeShade="A6"/>
                <w:szCs w:val="24"/>
                <w:lang w:eastAsia="pl-PL"/>
              </w:rPr>
              <w:t xml:space="preserve"> </w:t>
            </w:r>
            <w:r w:rsidR="23E34F04" w:rsidRPr="00A32720">
              <w:rPr>
                <w:rFonts w:eastAsia="Times New Roman" w:cs="Arial"/>
                <w:iCs/>
                <w:color w:val="2E74B5" w:themeColor="accent1" w:themeShade="BF"/>
                <w:szCs w:val="24"/>
                <w:lang w:eastAsia="pl-PL"/>
              </w:rPr>
              <w:t>EUR</w:t>
            </w:r>
            <w:r w:rsidR="6F96C552" w:rsidRPr="00400F84">
              <w:rPr>
                <w:rFonts w:eastAsia="Times New Roman" w:cs="Arial"/>
                <w:iCs/>
                <w:color w:val="2E74B5" w:themeColor="accent1" w:themeShade="BF"/>
                <w:lang w:eastAsia="pl-PL"/>
              </w:rPr>
              <w:t xml:space="preserve"> </w:t>
            </w:r>
          </w:p>
          <w:p w14:paraId="5F2D67BA" w14:textId="6BF12708" w:rsidR="00664EFD" w:rsidRDefault="00664EFD" w:rsidP="00492FD9">
            <w:pPr>
              <w:spacing w:line="240" w:lineRule="auto"/>
              <w:rPr>
                <w:rFonts w:eastAsia="Times New Roman" w:cs="Arial"/>
                <w:iCs/>
                <w:color w:val="2E74B5" w:themeColor="accent1" w:themeShade="BF"/>
                <w:lang w:eastAsia="pl-PL"/>
              </w:rPr>
            </w:pPr>
          </w:p>
          <w:p w14:paraId="1D733D4B" w14:textId="7C740F9D" w:rsidR="00664EFD" w:rsidRPr="001511A1" w:rsidRDefault="00664EFD" w:rsidP="00492FD9">
            <w:pPr>
              <w:spacing w:line="240" w:lineRule="auto"/>
              <w:rPr>
                <w:szCs w:val="24"/>
              </w:rPr>
            </w:pPr>
            <w:r w:rsidRPr="001511A1">
              <w:rPr>
                <w:szCs w:val="24"/>
              </w:rPr>
              <w:t xml:space="preserve">*Podział alokacji środków: </w:t>
            </w:r>
          </w:p>
          <w:p w14:paraId="5F184463" w14:textId="63894412" w:rsidR="00412E74" w:rsidRDefault="00412E74" w:rsidP="00492FD9">
            <w:pPr>
              <w:spacing w:line="240" w:lineRule="auto"/>
              <w:rPr>
                <w:rFonts w:eastAsia="Times New Roman" w:cs="Arial"/>
                <w:iCs/>
                <w:color w:val="2E74B5" w:themeColor="accent1" w:themeShade="BF"/>
                <w:lang w:eastAsia="pl-PL"/>
              </w:rPr>
            </w:pPr>
          </w:p>
          <w:tbl>
            <w:tblPr>
              <w:tblStyle w:val="Tabela-Siatka"/>
              <w:tblW w:w="4776" w:type="dxa"/>
              <w:tblLook w:val="04A0" w:firstRow="1" w:lastRow="0" w:firstColumn="1" w:lastColumn="0" w:noHBand="0" w:noVBand="1"/>
            </w:tblPr>
            <w:tblGrid>
              <w:gridCol w:w="1183"/>
              <w:gridCol w:w="805"/>
              <w:gridCol w:w="1229"/>
              <w:gridCol w:w="1559"/>
            </w:tblGrid>
            <w:tr w:rsidR="00664EFD" w14:paraId="6C4ED778" w14:textId="77777777" w:rsidTr="0026034A">
              <w:tc>
                <w:tcPr>
                  <w:tcW w:w="1183" w:type="dxa"/>
                </w:tcPr>
                <w:p w14:paraId="098DD738" w14:textId="77777777" w:rsidR="00664EFD" w:rsidRPr="00F81768" w:rsidRDefault="00664EFD" w:rsidP="00664EFD">
                  <w:pPr>
                    <w:rPr>
                      <w:rFonts w:cs="Arial"/>
                      <w:sz w:val="18"/>
                      <w:szCs w:val="18"/>
                    </w:rPr>
                  </w:pPr>
                  <w:r w:rsidRPr="00F81768">
                    <w:rPr>
                      <w:rFonts w:eastAsia="Calibri" w:cs="Arial"/>
                      <w:b/>
                      <w:sz w:val="18"/>
                      <w:szCs w:val="18"/>
                    </w:rPr>
                    <w:t>Powiat</w:t>
                  </w:r>
                </w:p>
              </w:tc>
              <w:tc>
                <w:tcPr>
                  <w:tcW w:w="805" w:type="dxa"/>
                </w:tcPr>
                <w:p w14:paraId="218631FF" w14:textId="77777777" w:rsidR="00664EFD" w:rsidRPr="00F81768" w:rsidRDefault="00664EFD" w:rsidP="00664EFD">
                  <w:pPr>
                    <w:rPr>
                      <w:rFonts w:cs="Arial"/>
                      <w:sz w:val="18"/>
                      <w:szCs w:val="18"/>
                    </w:rPr>
                  </w:pPr>
                  <w:r w:rsidRPr="00F81768">
                    <w:rPr>
                      <w:rFonts w:eastAsia="Calibri" w:cs="Arial"/>
                      <w:b/>
                      <w:sz w:val="18"/>
                      <w:szCs w:val="18"/>
                    </w:rPr>
                    <w:t>Udział (%)</w:t>
                  </w:r>
                </w:p>
              </w:tc>
              <w:tc>
                <w:tcPr>
                  <w:tcW w:w="1229" w:type="dxa"/>
                </w:tcPr>
                <w:p w14:paraId="3438D562" w14:textId="77777777" w:rsidR="00664EFD" w:rsidRPr="00F81768" w:rsidRDefault="00664EFD" w:rsidP="00664EFD">
                  <w:pPr>
                    <w:rPr>
                      <w:rFonts w:cs="Arial"/>
                      <w:sz w:val="18"/>
                      <w:szCs w:val="18"/>
                    </w:rPr>
                  </w:pPr>
                  <w:r w:rsidRPr="00F81768">
                    <w:rPr>
                      <w:rFonts w:eastAsia="Calibri" w:cs="Arial"/>
                      <w:b/>
                      <w:sz w:val="18"/>
                      <w:szCs w:val="18"/>
                    </w:rPr>
                    <w:t>Przyznana alokacja (EUR)</w:t>
                  </w:r>
                </w:p>
              </w:tc>
              <w:tc>
                <w:tcPr>
                  <w:tcW w:w="1559" w:type="dxa"/>
                </w:tcPr>
                <w:p w14:paraId="035EF0F7" w14:textId="77777777" w:rsidR="00664EFD" w:rsidRPr="00F81768" w:rsidRDefault="00664EFD" w:rsidP="00664EFD">
                  <w:pPr>
                    <w:rPr>
                      <w:rFonts w:cs="Arial"/>
                      <w:sz w:val="18"/>
                      <w:szCs w:val="18"/>
                    </w:rPr>
                  </w:pPr>
                  <w:r w:rsidRPr="00F81768">
                    <w:rPr>
                      <w:rFonts w:eastAsia="Calibri" w:cs="Arial"/>
                      <w:b/>
                      <w:sz w:val="18"/>
                      <w:szCs w:val="18"/>
                    </w:rPr>
                    <w:t>Przyznana alokacja (zł)</w:t>
                  </w:r>
                </w:p>
              </w:tc>
            </w:tr>
            <w:tr w:rsidR="0026034A" w14:paraId="4B560ACB" w14:textId="77777777" w:rsidTr="0026034A">
              <w:tc>
                <w:tcPr>
                  <w:tcW w:w="1183" w:type="dxa"/>
                </w:tcPr>
                <w:p w14:paraId="27AD0916" w14:textId="77777777" w:rsidR="0026034A" w:rsidRPr="00F81768" w:rsidRDefault="0026034A" w:rsidP="0026034A">
                  <w:pPr>
                    <w:rPr>
                      <w:rFonts w:cs="Arial"/>
                      <w:sz w:val="18"/>
                      <w:szCs w:val="18"/>
                    </w:rPr>
                  </w:pPr>
                  <w:r w:rsidRPr="00F81768">
                    <w:rPr>
                      <w:rFonts w:eastAsia="Calibri" w:cs="Arial"/>
                      <w:sz w:val="18"/>
                      <w:szCs w:val="18"/>
                    </w:rPr>
                    <w:t>Bielsko-Biała</w:t>
                  </w:r>
                </w:p>
              </w:tc>
              <w:tc>
                <w:tcPr>
                  <w:tcW w:w="805" w:type="dxa"/>
                </w:tcPr>
                <w:p w14:paraId="34425973" w14:textId="77777777" w:rsidR="0026034A" w:rsidRPr="00F81768" w:rsidRDefault="0026034A" w:rsidP="0026034A">
                  <w:pPr>
                    <w:jc w:val="right"/>
                    <w:rPr>
                      <w:rFonts w:cs="Arial"/>
                      <w:sz w:val="18"/>
                      <w:szCs w:val="18"/>
                    </w:rPr>
                  </w:pPr>
                  <w:r w:rsidRPr="00F81768">
                    <w:rPr>
                      <w:rFonts w:eastAsia="Calibri" w:cs="Arial"/>
                      <w:sz w:val="18"/>
                      <w:szCs w:val="18"/>
                    </w:rPr>
                    <w:t>3,2%</w:t>
                  </w:r>
                </w:p>
              </w:tc>
              <w:tc>
                <w:tcPr>
                  <w:tcW w:w="1229" w:type="dxa"/>
                </w:tcPr>
                <w:p w14:paraId="706E5D0D" w14:textId="77777777" w:rsidR="0026034A" w:rsidRPr="00F81768" w:rsidRDefault="0026034A" w:rsidP="0026034A">
                  <w:pPr>
                    <w:jc w:val="right"/>
                    <w:rPr>
                      <w:rFonts w:cs="Arial"/>
                      <w:sz w:val="18"/>
                      <w:szCs w:val="18"/>
                    </w:rPr>
                  </w:pPr>
                  <w:r w:rsidRPr="00F81768">
                    <w:rPr>
                      <w:rFonts w:eastAsia="Calibri" w:cs="Arial"/>
                      <w:sz w:val="18"/>
                      <w:szCs w:val="18"/>
                    </w:rPr>
                    <w:t>1 828 000</w:t>
                  </w:r>
                </w:p>
              </w:tc>
              <w:tc>
                <w:tcPr>
                  <w:tcW w:w="1559" w:type="dxa"/>
                </w:tcPr>
                <w:p w14:paraId="54F4B87A" w14:textId="416CCEC9" w:rsidR="0026034A" w:rsidRPr="0026034A" w:rsidRDefault="0026034A" w:rsidP="0026034A">
                  <w:pPr>
                    <w:jc w:val="both"/>
                    <w:rPr>
                      <w:rFonts w:eastAsia="Calibri" w:cs="Arial"/>
                      <w:sz w:val="18"/>
                      <w:szCs w:val="18"/>
                    </w:rPr>
                  </w:pPr>
                  <w:r w:rsidRPr="0026034A">
                    <w:rPr>
                      <w:rFonts w:eastAsia="Calibri" w:cs="Arial"/>
                      <w:sz w:val="18"/>
                      <w:szCs w:val="18"/>
                    </w:rPr>
                    <w:t xml:space="preserve"> 7 683 632,40    </w:t>
                  </w:r>
                </w:p>
              </w:tc>
            </w:tr>
            <w:tr w:rsidR="0026034A" w14:paraId="7936AE43" w14:textId="77777777" w:rsidTr="0026034A">
              <w:tc>
                <w:tcPr>
                  <w:tcW w:w="1183" w:type="dxa"/>
                </w:tcPr>
                <w:p w14:paraId="3EE8EBDB" w14:textId="77777777" w:rsidR="0026034A" w:rsidRPr="00F81768" w:rsidRDefault="0026034A" w:rsidP="0026034A">
                  <w:pPr>
                    <w:rPr>
                      <w:rFonts w:cs="Arial"/>
                      <w:sz w:val="18"/>
                      <w:szCs w:val="18"/>
                    </w:rPr>
                  </w:pPr>
                  <w:r w:rsidRPr="00F81768">
                    <w:rPr>
                      <w:rFonts w:eastAsia="Calibri" w:cs="Arial"/>
                      <w:sz w:val="18"/>
                      <w:szCs w:val="18"/>
                    </w:rPr>
                    <w:t>bielski</w:t>
                  </w:r>
                </w:p>
              </w:tc>
              <w:tc>
                <w:tcPr>
                  <w:tcW w:w="805" w:type="dxa"/>
                </w:tcPr>
                <w:p w14:paraId="08AD0FCC" w14:textId="77777777" w:rsidR="0026034A" w:rsidRPr="00F81768" w:rsidRDefault="0026034A" w:rsidP="0026034A">
                  <w:pPr>
                    <w:jc w:val="right"/>
                    <w:rPr>
                      <w:rFonts w:cs="Arial"/>
                      <w:sz w:val="18"/>
                      <w:szCs w:val="18"/>
                    </w:rPr>
                  </w:pPr>
                  <w:r w:rsidRPr="00F81768">
                    <w:rPr>
                      <w:rFonts w:eastAsia="Calibri" w:cs="Arial"/>
                      <w:sz w:val="18"/>
                      <w:szCs w:val="18"/>
                    </w:rPr>
                    <w:t>57,5%</w:t>
                  </w:r>
                </w:p>
              </w:tc>
              <w:tc>
                <w:tcPr>
                  <w:tcW w:w="1229" w:type="dxa"/>
                </w:tcPr>
                <w:p w14:paraId="7243B36A" w14:textId="77777777" w:rsidR="0026034A" w:rsidRPr="00F81768" w:rsidRDefault="0026034A" w:rsidP="0026034A">
                  <w:pPr>
                    <w:jc w:val="right"/>
                    <w:rPr>
                      <w:rFonts w:cs="Arial"/>
                      <w:sz w:val="18"/>
                      <w:szCs w:val="18"/>
                    </w:rPr>
                  </w:pPr>
                  <w:r w:rsidRPr="00F81768">
                    <w:rPr>
                      <w:rFonts w:eastAsia="Calibri" w:cs="Arial"/>
                      <w:sz w:val="18"/>
                      <w:szCs w:val="18"/>
                    </w:rPr>
                    <w:t>33 359 000</w:t>
                  </w:r>
                </w:p>
              </w:tc>
              <w:tc>
                <w:tcPr>
                  <w:tcW w:w="1559" w:type="dxa"/>
                </w:tcPr>
                <w:p w14:paraId="00B0B944" w14:textId="715E133F" w:rsidR="0026034A" w:rsidRPr="0026034A" w:rsidRDefault="0026034A" w:rsidP="0026034A">
                  <w:pPr>
                    <w:jc w:val="both"/>
                    <w:rPr>
                      <w:rFonts w:eastAsia="Calibri" w:cs="Arial"/>
                      <w:sz w:val="18"/>
                      <w:szCs w:val="18"/>
                    </w:rPr>
                  </w:pPr>
                  <w:r w:rsidRPr="0026034A">
                    <w:rPr>
                      <w:rFonts w:eastAsia="Calibri" w:cs="Arial"/>
                      <w:sz w:val="18"/>
                      <w:szCs w:val="18"/>
                    </w:rPr>
                    <w:t>140</w:t>
                  </w:r>
                  <w:r>
                    <w:rPr>
                      <w:rFonts w:eastAsia="Calibri" w:cs="Arial"/>
                      <w:sz w:val="18"/>
                      <w:szCs w:val="18"/>
                    </w:rPr>
                    <w:t> </w:t>
                  </w:r>
                  <w:r w:rsidRPr="0026034A">
                    <w:rPr>
                      <w:rFonts w:eastAsia="Calibri" w:cs="Arial"/>
                      <w:sz w:val="18"/>
                      <w:szCs w:val="18"/>
                    </w:rPr>
                    <w:t>217</w:t>
                  </w:r>
                  <w:r>
                    <w:rPr>
                      <w:rFonts w:eastAsia="Calibri" w:cs="Arial"/>
                      <w:sz w:val="18"/>
                      <w:szCs w:val="18"/>
                    </w:rPr>
                    <w:t xml:space="preserve"> </w:t>
                  </w:r>
                  <w:r w:rsidRPr="0026034A">
                    <w:rPr>
                      <w:rFonts w:eastAsia="Calibri" w:cs="Arial"/>
                      <w:sz w:val="18"/>
                      <w:szCs w:val="18"/>
                    </w:rPr>
                    <w:t xml:space="preserve">884,70    </w:t>
                  </w:r>
                </w:p>
                <w:p w14:paraId="2A46CD17" w14:textId="63A393E3" w:rsidR="0026034A" w:rsidRPr="0026034A" w:rsidRDefault="0026034A" w:rsidP="0026034A">
                  <w:pPr>
                    <w:jc w:val="both"/>
                    <w:rPr>
                      <w:rFonts w:eastAsia="Calibri" w:cs="Arial"/>
                      <w:sz w:val="18"/>
                      <w:szCs w:val="18"/>
                    </w:rPr>
                  </w:pPr>
                </w:p>
              </w:tc>
            </w:tr>
            <w:tr w:rsidR="0026034A" w14:paraId="7DA142FF" w14:textId="77777777" w:rsidTr="0026034A">
              <w:tc>
                <w:tcPr>
                  <w:tcW w:w="1183" w:type="dxa"/>
                </w:tcPr>
                <w:p w14:paraId="41C84869" w14:textId="77777777" w:rsidR="0026034A" w:rsidRPr="00F81768" w:rsidRDefault="0026034A" w:rsidP="0026034A">
                  <w:pPr>
                    <w:rPr>
                      <w:rFonts w:cs="Arial"/>
                      <w:sz w:val="18"/>
                      <w:szCs w:val="18"/>
                    </w:rPr>
                  </w:pPr>
                  <w:r w:rsidRPr="00F81768">
                    <w:rPr>
                      <w:rFonts w:eastAsia="Calibri" w:cs="Arial"/>
                      <w:sz w:val="18"/>
                      <w:szCs w:val="18"/>
                    </w:rPr>
                    <w:t>cieszyński</w:t>
                  </w:r>
                </w:p>
              </w:tc>
              <w:tc>
                <w:tcPr>
                  <w:tcW w:w="805" w:type="dxa"/>
                </w:tcPr>
                <w:p w14:paraId="3B8EB897" w14:textId="77777777" w:rsidR="0026034A" w:rsidRPr="00F81768" w:rsidRDefault="0026034A" w:rsidP="0026034A">
                  <w:pPr>
                    <w:jc w:val="right"/>
                    <w:rPr>
                      <w:rFonts w:cs="Arial"/>
                      <w:sz w:val="18"/>
                      <w:szCs w:val="18"/>
                    </w:rPr>
                  </w:pPr>
                  <w:r w:rsidRPr="00F81768">
                    <w:rPr>
                      <w:rFonts w:eastAsia="Calibri" w:cs="Arial"/>
                      <w:sz w:val="18"/>
                      <w:szCs w:val="18"/>
                    </w:rPr>
                    <w:t>13,7%</w:t>
                  </w:r>
                </w:p>
              </w:tc>
              <w:tc>
                <w:tcPr>
                  <w:tcW w:w="1229" w:type="dxa"/>
                </w:tcPr>
                <w:p w14:paraId="6D4C4787" w14:textId="77777777" w:rsidR="0026034A" w:rsidRPr="00F81768" w:rsidRDefault="0026034A" w:rsidP="0026034A">
                  <w:pPr>
                    <w:jc w:val="right"/>
                    <w:rPr>
                      <w:rFonts w:cs="Arial"/>
                      <w:sz w:val="18"/>
                      <w:szCs w:val="18"/>
                    </w:rPr>
                  </w:pPr>
                  <w:r w:rsidRPr="00F81768">
                    <w:rPr>
                      <w:rFonts w:eastAsia="Calibri" w:cs="Arial"/>
                      <w:sz w:val="18"/>
                      <w:szCs w:val="18"/>
                    </w:rPr>
                    <w:t>7 947 000</w:t>
                  </w:r>
                </w:p>
              </w:tc>
              <w:tc>
                <w:tcPr>
                  <w:tcW w:w="1559" w:type="dxa"/>
                </w:tcPr>
                <w:p w14:paraId="2260FB9C" w14:textId="704EB733" w:rsidR="0026034A" w:rsidRPr="00977A64" w:rsidRDefault="0026034A" w:rsidP="0026034A">
                  <w:pPr>
                    <w:rPr>
                      <w:rFonts w:eastAsia="Calibri" w:cs="Arial"/>
                      <w:sz w:val="18"/>
                      <w:szCs w:val="18"/>
                    </w:rPr>
                  </w:pPr>
                  <w:r w:rsidRPr="0026034A">
                    <w:rPr>
                      <w:rFonts w:eastAsia="Calibri" w:cs="Arial"/>
                      <w:sz w:val="18"/>
                      <w:szCs w:val="18"/>
                    </w:rPr>
                    <w:t xml:space="preserve">33 403 625,10    </w:t>
                  </w:r>
                </w:p>
              </w:tc>
            </w:tr>
            <w:tr w:rsidR="0026034A" w14:paraId="51FE9860" w14:textId="77777777" w:rsidTr="0026034A">
              <w:tc>
                <w:tcPr>
                  <w:tcW w:w="1183" w:type="dxa"/>
                </w:tcPr>
                <w:p w14:paraId="2E941ABD" w14:textId="77777777" w:rsidR="0026034A" w:rsidRPr="00F81768" w:rsidRDefault="0026034A" w:rsidP="0026034A">
                  <w:pPr>
                    <w:rPr>
                      <w:rFonts w:cs="Arial"/>
                      <w:sz w:val="18"/>
                      <w:szCs w:val="18"/>
                    </w:rPr>
                  </w:pPr>
                  <w:r w:rsidRPr="00F81768">
                    <w:rPr>
                      <w:rFonts w:eastAsia="Calibri" w:cs="Arial"/>
                      <w:sz w:val="18"/>
                      <w:szCs w:val="18"/>
                    </w:rPr>
                    <w:t>pszczyński</w:t>
                  </w:r>
                </w:p>
              </w:tc>
              <w:tc>
                <w:tcPr>
                  <w:tcW w:w="805" w:type="dxa"/>
                </w:tcPr>
                <w:p w14:paraId="02D27FEF" w14:textId="77777777" w:rsidR="0026034A" w:rsidRPr="00F81768" w:rsidRDefault="0026034A" w:rsidP="0026034A">
                  <w:pPr>
                    <w:jc w:val="right"/>
                    <w:rPr>
                      <w:rFonts w:cs="Arial"/>
                      <w:sz w:val="18"/>
                      <w:szCs w:val="18"/>
                    </w:rPr>
                  </w:pPr>
                  <w:r w:rsidRPr="00F81768">
                    <w:rPr>
                      <w:rFonts w:eastAsia="Calibri" w:cs="Arial"/>
                      <w:sz w:val="18"/>
                      <w:szCs w:val="18"/>
                    </w:rPr>
                    <w:t>4,2%</w:t>
                  </w:r>
                </w:p>
              </w:tc>
              <w:tc>
                <w:tcPr>
                  <w:tcW w:w="1229" w:type="dxa"/>
                </w:tcPr>
                <w:p w14:paraId="60829AEF" w14:textId="77777777" w:rsidR="0026034A" w:rsidRPr="00F81768" w:rsidRDefault="0026034A" w:rsidP="0026034A">
                  <w:pPr>
                    <w:jc w:val="right"/>
                    <w:rPr>
                      <w:rFonts w:cs="Arial"/>
                      <w:sz w:val="18"/>
                      <w:szCs w:val="18"/>
                    </w:rPr>
                  </w:pPr>
                  <w:r w:rsidRPr="00F81768">
                    <w:rPr>
                      <w:rFonts w:eastAsia="Calibri" w:cs="Arial"/>
                      <w:sz w:val="18"/>
                      <w:szCs w:val="18"/>
                    </w:rPr>
                    <w:t>2 444 000</w:t>
                  </w:r>
                </w:p>
              </w:tc>
              <w:tc>
                <w:tcPr>
                  <w:tcW w:w="1559" w:type="dxa"/>
                </w:tcPr>
                <w:p w14:paraId="0D7EBBFD" w14:textId="41C884DC" w:rsidR="0026034A" w:rsidRPr="00977A64" w:rsidRDefault="0026034A" w:rsidP="0026034A">
                  <w:pPr>
                    <w:rPr>
                      <w:rFonts w:eastAsia="Calibri" w:cs="Arial"/>
                      <w:sz w:val="18"/>
                      <w:szCs w:val="18"/>
                    </w:rPr>
                  </w:pPr>
                  <w:r w:rsidRPr="0026034A">
                    <w:rPr>
                      <w:rFonts w:eastAsia="Calibri" w:cs="Arial"/>
                      <w:sz w:val="18"/>
                      <w:szCs w:val="18"/>
                    </w:rPr>
                    <w:t xml:space="preserve">10 272 865,20    </w:t>
                  </w:r>
                </w:p>
              </w:tc>
            </w:tr>
            <w:tr w:rsidR="0026034A" w14:paraId="035071B1" w14:textId="77777777" w:rsidTr="0026034A">
              <w:trPr>
                <w:trHeight w:val="188"/>
              </w:trPr>
              <w:tc>
                <w:tcPr>
                  <w:tcW w:w="1183" w:type="dxa"/>
                </w:tcPr>
                <w:p w14:paraId="2F286EF2" w14:textId="77777777" w:rsidR="0026034A" w:rsidRPr="00F81768" w:rsidRDefault="0026034A" w:rsidP="0026034A">
                  <w:pPr>
                    <w:rPr>
                      <w:rFonts w:cs="Arial"/>
                      <w:sz w:val="18"/>
                      <w:szCs w:val="18"/>
                    </w:rPr>
                  </w:pPr>
                  <w:r w:rsidRPr="00F81768">
                    <w:rPr>
                      <w:rFonts w:eastAsia="Calibri" w:cs="Arial"/>
                      <w:sz w:val="18"/>
                      <w:szCs w:val="18"/>
                    </w:rPr>
                    <w:t>raciborski</w:t>
                  </w:r>
                </w:p>
              </w:tc>
              <w:tc>
                <w:tcPr>
                  <w:tcW w:w="805" w:type="dxa"/>
                </w:tcPr>
                <w:p w14:paraId="3D350C1C" w14:textId="77777777" w:rsidR="0026034A" w:rsidRPr="00F81768" w:rsidRDefault="0026034A" w:rsidP="0026034A">
                  <w:pPr>
                    <w:jc w:val="right"/>
                    <w:rPr>
                      <w:rFonts w:cs="Arial"/>
                      <w:sz w:val="18"/>
                      <w:szCs w:val="18"/>
                    </w:rPr>
                  </w:pPr>
                  <w:r w:rsidRPr="00F81768">
                    <w:rPr>
                      <w:rFonts w:eastAsia="Calibri" w:cs="Arial"/>
                      <w:sz w:val="18"/>
                      <w:szCs w:val="18"/>
                    </w:rPr>
                    <w:t>21,4%</w:t>
                  </w:r>
                </w:p>
              </w:tc>
              <w:tc>
                <w:tcPr>
                  <w:tcW w:w="1229" w:type="dxa"/>
                </w:tcPr>
                <w:p w14:paraId="371E71FA" w14:textId="77777777" w:rsidR="0026034A" w:rsidRPr="00F81768" w:rsidRDefault="0026034A" w:rsidP="0026034A">
                  <w:pPr>
                    <w:jc w:val="right"/>
                    <w:rPr>
                      <w:rFonts w:cs="Arial"/>
                      <w:sz w:val="18"/>
                      <w:szCs w:val="18"/>
                    </w:rPr>
                  </w:pPr>
                  <w:r w:rsidRPr="00F81768">
                    <w:rPr>
                      <w:rFonts w:eastAsia="Calibri" w:cs="Arial"/>
                      <w:sz w:val="18"/>
                      <w:szCs w:val="18"/>
                    </w:rPr>
                    <w:t>12 422 000</w:t>
                  </w:r>
                </w:p>
              </w:tc>
              <w:tc>
                <w:tcPr>
                  <w:tcW w:w="1559" w:type="dxa"/>
                </w:tcPr>
                <w:p w14:paraId="26075B90" w14:textId="2701B982" w:rsidR="0026034A" w:rsidRPr="00977A64" w:rsidRDefault="0026034A" w:rsidP="0026034A">
                  <w:pPr>
                    <w:rPr>
                      <w:rFonts w:eastAsia="Calibri" w:cs="Arial"/>
                      <w:sz w:val="18"/>
                      <w:szCs w:val="18"/>
                    </w:rPr>
                  </w:pPr>
                  <w:r w:rsidRPr="0026034A">
                    <w:rPr>
                      <w:rFonts w:eastAsia="Calibri" w:cs="Arial"/>
                      <w:sz w:val="18"/>
                      <w:szCs w:val="18"/>
                    </w:rPr>
                    <w:t>52 213 392,60</w:t>
                  </w:r>
                </w:p>
              </w:tc>
            </w:tr>
            <w:tr w:rsidR="00977A64" w:rsidRPr="00977A64" w14:paraId="7B9D75DB" w14:textId="77777777" w:rsidTr="0026034A">
              <w:tc>
                <w:tcPr>
                  <w:tcW w:w="1183" w:type="dxa"/>
                </w:tcPr>
                <w:p w14:paraId="402646A1" w14:textId="77777777" w:rsidR="00977A64" w:rsidRPr="00F81768" w:rsidRDefault="00977A64" w:rsidP="00977A64">
                  <w:pPr>
                    <w:rPr>
                      <w:rFonts w:cs="Arial"/>
                      <w:sz w:val="18"/>
                      <w:szCs w:val="18"/>
                    </w:rPr>
                  </w:pPr>
                  <w:r w:rsidRPr="00F81768">
                    <w:rPr>
                      <w:rFonts w:eastAsia="Calibri" w:cs="Arial"/>
                      <w:b/>
                      <w:sz w:val="18"/>
                      <w:szCs w:val="18"/>
                    </w:rPr>
                    <w:t>SUMA</w:t>
                  </w:r>
                </w:p>
              </w:tc>
              <w:tc>
                <w:tcPr>
                  <w:tcW w:w="805" w:type="dxa"/>
                </w:tcPr>
                <w:p w14:paraId="1770523B" w14:textId="09EE6366" w:rsidR="00977A64" w:rsidRPr="005E7F39" w:rsidRDefault="008B4784" w:rsidP="00977A64">
                  <w:pPr>
                    <w:jc w:val="right"/>
                    <w:rPr>
                      <w:rFonts w:cs="Arial"/>
                      <w:b/>
                      <w:sz w:val="18"/>
                      <w:szCs w:val="18"/>
                    </w:rPr>
                  </w:pPr>
                  <w:r w:rsidRPr="005E7F39">
                    <w:rPr>
                      <w:rFonts w:cs="Arial"/>
                      <w:b/>
                      <w:sz w:val="18"/>
                      <w:szCs w:val="18"/>
                    </w:rPr>
                    <w:t>100</w:t>
                  </w:r>
                  <w:r w:rsidR="005E7F39" w:rsidRPr="005E7F39">
                    <w:rPr>
                      <w:rFonts w:cs="Arial"/>
                      <w:b/>
                      <w:sz w:val="18"/>
                      <w:szCs w:val="18"/>
                    </w:rPr>
                    <w:t>%</w:t>
                  </w:r>
                </w:p>
              </w:tc>
              <w:tc>
                <w:tcPr>
                  <w:tcW w:w="1229" w:type="dxa"/>
                </w:tcPr>
                <w:p w14:paraId="4B0F4D57" w14:textId="77777777" w:rsidR="00977A64" w:rsidRPr="00F81768" w:rsidRDefault="00977A64" w:rsidP="00977A64">
                  <w:pPr>
                    <w:rPr>
                      <w:rFonts w:cs="Arial"/>
                      <w:sz w:val="18"/>
                      <w:szCs w:val="18"/>
                    </w:rPr>
                  </w:pPr>
                  <w:r w:rsidRPr="00F81768">
                    <w:rPr>
                      <w:rFonts w:eastAsia="Calibri" w:cs="Arial"/>
                      <w:b/>
                      <w:sz w:val="18"/>
                      <w:szCs w:val="18"/>
                    </w:rPr>
                    <w:t>58 000 000</w:t>
                  </w:r>
                </w:p>
              </w:tc>
              <w:tc>
                <w:tcPr>
                  <w:tcW w:w="1559" w:type="dxa"/>
                </w:tcPr>
                <w:p w14:paraId="2516ED61" w14:textId="3D6511AA" w:rsidR="00977A64" w:rsidRPr="00977A64" w:rsidRDefault="0026034A" w:rsidP="00977A64">
                  <w:pPr>
                    <w:ind w:right="-113"/>
                    <w:rPr>
                      <w:rFonts w:eastAsia="Calibri" w:cs="Arial"/>
                      <w:b/>
                      <w:sz w:val="18"/>
                      <w:szCs w:val="18"/>
                    </w:rPr>
                  </w:pPr>
                  <w:r w:rsidRPr="0026034A">
                    <w:rPr>
                      <w:rFonts w:eastAsia="Calibri" w:cs="Arial"/>
                      <w:b/>
                      <w:sz w:val="18"/>
                      <w:szCs w:val="18"/>
                    </w:rPr>
                    <w:t xml:space="preserve">243 791 400,00    </w:t>
                  </w:r>
                </w:p>
              </w:tc>
            </w:tr>
          </w:tbl>
          <w:p w14:paraId="4060ED99" w14:textId="5FFD86ED" w:rsidR="00A32720" w:rsidRDefault="00A32720" w:rsidP="00492FD9">
            <w:pPr>
              <w:spacing w:line="240" w:lineRule="auto"/>
              <w:rPr>
                <w:rFonts w:eastAsia="Times New Roman" w:cs="Arial"/>
                <w:color w:val="2E74B5" w:themeColor="accent1" w:themeShade="BF"/>
                <w:lang w:eastAsia="pl-PL"/>
              </w:rPr>
            </w:pPr>
          </w:p>
          <w:p w14:paraId="73D262F6" w14:textId="77777777" w:rsidR="00E610B6" w:rsidRDefault="00E610B6" w:rsidP="001511A1">
            <w:pPr>
              <w:spacing w:line="240" w:lineRule="auto"/>
            </w:pPr>
            <w:bookmarkStart w:id="31" w:name="_Hlk218060589"/>
            <w:r w:rsidRPr="00E610B6">
              <w:t>Dla każdego z pięciu powiatów zostaną przygotowane odrębne listy rankingowe projektów składanych przez jednostki samorządu terytorialnego z terenu danego powiatu</w:t>
            </w:r>
            <w:bookmarkEnd w:id="31"/>
            <w:r w:rsidRPr="00E610B6">
              <w:t>.</w:t>
            </w:r>
          </w:p>
          <w:p w14:paraId="5524E83C" w14:textId="0657DD53" w:rsidR="00A32720" w:rsidRPr="00A32720" w:rsidRDefault="00A32720" w:rsidP="001511A1">
            <w:pPr>
              <w:spacing w:line="240" w:lineRule="auto"/>
            </w:pPr>
            <w:r w:rsidRPr="00A32720">
              <w:t>W przypadku niewykorzystania przyznanej puli środków w danym powiecie, dostępne środki – decyzją Zarządu Województwa Śląskiego – mogą zostać przesunięte na dofinansowanie lub zwiększenie dofinansowania projektów w innych powiatach, które pierwotnie otrzymały największą alokację. Takie działanie będzie również odzwierciedleniem rzeczywistej skali szkód w poszczególnych powiatach.</w:t>
            </w:r>
          </w:p>
          <w:p w14:paraId="370F4602" w14:textId="77777777" w:rsidR="00A32720" w:rsidRDefault="00A32720" w:rsidP="00492FD9">
            <w:pPr>
              <w:spacing w:line="240" w:lineRule="auto"/>
              <w:rPr>
                <w:rFonts w:eastAsia="Times New Roman" w:cs="Arial"/>
                <w:color w:val="2E74B5" w:themeColor="accent1" w:themeShade="BF"/>
                <w:lang w:eastAsia="pl-PL"/>
              </w:rPr>
            </w:pPr>
          </w:p>
          <w:p w14:paraId="11AB8696" w14:textId="6187F001"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008E79CC">
              <w:rPr>
                <w:rFonts w:eastAsia="Times New Roman" w:cs="Arial"/>
                <w:color w:val="2E74B5" w:themeColor="accent1" w:themeShade="BF"/>
                <w:lang w:eastAsia="pl-PL"/>
              </w:rPr>
              <w:t xml:space="preserve">- </w:t>
            </w:r>
            <w:r w:rsidR="5ADD89FC" w:rsidRPr="00CC0FF0">
              <w:rPr>
                <w:rFonts w:eastAsia="Times New Roman" w:cs="Arial"/>
                <w:color w:val="2E74B5" w:themeColor="accent1" w:themeShade="BF"/>
                <w:lang w:eastAsia="pl-PL"/>
              </w:rPr>
              <w:t>Nie dotyczy</w:t>
            </w:r>
          </w:p>
        </w:tc>
      </w:tr>
      <w:tr w:rsidR="00D90362" w:rsidRPr="00A22072" w14:paraId="69BBBD10" w14:textId="77777777" w:rsidTr="3915EE4C">
        <w:trPr>
          <w:trHeight w:val="2494"/>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lastRenderedPageBreak/>
              <w:t>Maksymalny, dopuszczalny poziom dofinansowania projektu/ Maksymalna, dopuszczalna kwota dofinansowania projektu</w:t>
            </w:r>
          </w:p>
        </w:tc>
        <w:tc>
          <w:tcPr>
            <w:tcW w:w="4842" w:type="dxa"/>
          </w:tcPr>
          <w:p w14:paraId="61B2DA68" w14:textId="2A51D21E" w:rsidR="00B4290D" w:rsidRPr="00264726" w:rsidRDefault="322318D5" w:rsidP="3915EE4C">
            <w:pPr>
              <w:pStyle w:val="NormalnyWeb"/>
              <w:spacing w:before="0" w:beforeAutospacing="0" w:after="0" w:afterAutospacing="0"/>
              <w:rPr>
                <w:rFonts w:ascii="Arial" w:eastAsia="Calibri" w:hAnsi="Arial"/>
                <w:lang w:eastAsia="en-US"/>
              </w:rPr>
            </w:pPr>
            <w:r w:rsidRPr="3915EE4C">
              <w:rPr>
                <w:rFonts w:ascii="Arial" w:eastAsia="Calibri" w:hAnsi="Arial"/>
                <w:lang w:eastAsia="en-US"/>
              </w:rPr>
              <w:t>Maksymalny dopuszczalny poziom dofinansowania kosztów kwalifikowanych wynosi:  </w:t>
            </w:r>
          </w:p>
          <w:p w14:paraId="2571A897" w14:textId="7A3928AD"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 do </w:t>
            </w:r>
            <w:r w:rsidR="00A957C4">
              <w:rPr>
                <w:rFonts w:ascii="Arial" w:eastAsia="Calibri" w:hAnsi="Arial"/>
                <w:szCs w:val="22"/>
                <w:lang w:eastAsia="en-US"/>
              </w:rPr>
              <w:t>9</w:t>
            </w:r>
            <w:r w:rsidRPr="00264726">
              <w:rPr>
                <w:rFonts w:ascii="Arial" w:eastAsia="Calibri" w:hAnsi="Arial"/>
                <w:szCs w:val="22"/>
                <w:lang w:eastAsia="en-US"/>
              </w:rPr>
              <w:t>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41CED9C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 do </w:t>
            </w:r>
            <w:r w:rsidR="00A957C4">
              <w:rPr>
                <w:rFonts w:ascii="Arial" w:eastAsia="Calibri" w:hAnsi="Arial"/>
                <w:szCs w:val="22"/>
                <w:lang w:eastAsia="en-US"/>
              </w:rPr>
              <w:t>9</w:t>
            </w:r>
            <w:r w:rsidRPr="00264726">
              <w:rPr>
                <w:rFonts w:ascii="Arial" w:eastAsia="Calibri" w:hAnsi="Arial"/>
                <w:szCs w:val="22"/>
                <w:lang w:eastAsia="en-US"/>
              </w:rPr>
              <w:t>5% dla kosztów pośrednich </w:t>
            </w:r>
          </w:p>
          <w:p w14:paraId="60D86C33" w14:textId="1572F1FC" w:rsidR="00D90362" w:rsidRPr="001511A1" w:rsidRDefault="322318D5" w:rsidP="3915EE4C">
            <w:pPr>
              <w:pStyle w:val="NormalnyWeb"/>
              <w:spacing w:before="0" w:beforeAutospacing="0" w:after="0" w:afterAutospacing="0"/>
              <w:rPr>
                <w:rFonts w:ascii="Arial" w:eastAsia="Calibri" w:hAnsi="Arial"/>
                <w:lang w:eastAsia="en-US"/>
              </w:rPr>
            </w:pPr>
            <w:r w:rsidRPr="3915EE4C">
              <w:rPr>
                <w:rFonts w:ascii="Arial" w:eastAsia="Calibri" w:hAnsi="Arial"/>
                <w:lang w:eastAsia="en-US"/>
              </w:rPr>
              <w:t xml:space="preserve">lub zgodnie z zasadami udzielania pomocy publicznej/pomocy de </w:t>
            </w:r>
            <w:proofErr w:type="spellStart"/>
            <w:r w:rsidRPr="3915EE4C">
              <w:rPr>
                <w:rFonts w:ascii="Arial" w:eastAsia="Calibri" w:hAnsi="Arial"/>
                <w:lang w:eastAsia="en-US"/>
              </w:rPr>
              <w:t>minimis</w:t>
            </w:r>
            <w:proofErr w:type="spellEnd"/>
            <w:r w:rsidRPr="3915EE4C">
              <w:rPr>
                <w:rFonts w:ascii="Arial" w:eastAsia="Calibri" w:hAnsi="Arial"/>
                <w:lang w:eastAsia="en-US"/>
              </w:rPr>
              <w:t>. </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3BB3EE83" w:rsidR="00D71D15" w:rsidRPr="00D71D15" w:rsidRDefault="00D71D15" w:rsidP="00CF24DA">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2" w:name="_Toc181002424"/>
      <w:r w:rsidRPr="00E72D9B">
        <w:t>Środki przeznaczone na mechanizm racjonalnych usprawnień w naborze</w:t>
      </w:r>
      <w:bookmarkEnd w:id="32"/>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3" w:name="_Toc181002425"/>
      <w:r>
        <w:t>Kwalifikowalność wydatków</w:t>
      </w:r>
      <w:bookmarkEnd w:id="33"/>
    </w:p>
    <w:p w14:paraId="6C189A43" w14:textId="77777777"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 xml:space="preserve">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w:t>
      </w:r>
      <w:r w:rsidRPr="2058049C">
        <w:rPr>
          <w:rFonts w:eastAsia="Arial" w:cs="Arial"/>
          <w:szCs w:val="24"/>
        </w:rPr>
        <w:lastRenderedPageBreak/>
        <w:t>prowadzona również po zakończeniu realizacji projektu w zakresie obowiązków nałożonych na beneficjenta umową /decyzją o dofinansowanie projektu oraz wynikających z przepisów prawa.</w:t>
      </w:r>
    </w:p>
    <w:p w14:paraId="499279C3" w14:textId="2AD0C4E6" w:rsidR="009723DD" w:rsidRPr="00CD5678" w:rsidRDefault="009723DD" w:rsidP="0055102E">
      <w:pPr>
        <w:spacing w:after="240"/>
        <w:rPr>
          <w:rFonts w:eastAsia="Arial" w:cs="Arial"/>
          <w:szCs w:val="24"/>
        </w:rPr>
      </w:pPr>
      <w:r w:rsidRPr="2058049C">
        <w:rPr>
          <w:rFonts w:eastAsia="Arial" w:cs="Arial"/>
          <w:szCs w:val="24"/>
        </w:rPr>
        <w:t xml:space="preserve">Za kwalifikowalne uznaje się wydatki poniesione w okresie </w:t>
      </w:r>
      <w:r w:rsidRPr="00CD5678">
        <w:rPr>
          <w:rFonts w:eastAsia="Arial" w:cs="Arial"/>
          <w:szCs w:val="24"/>
        </w:rPr>
        <w:t>od 1</w:t>
      </w:r>
      <w:r w:rsidR="006B2E5A" w:rsidRPr="00CD5678">
        <w:rPr>
          <w:rFonts w:eastAsia="Arial" w:cs="Arial"/>
          <w:szCs w:val="24"/>
        </w:rPr>
        <w:t>6</w:t>
      </w:r>
      <w:r w:rsidRPr="00CD5678">
        <w:rPr>
          <w:rFonts w:eastAsia="Arial" w:cs="Arial"/>
          <w:szCs w:val="24"/>
        </w:rPr>
        <w:t xml:space="preserve"> </w:t>
      </w:r>
      <w:r w:rsidR="006B2E5A" w:rsidRPr="00CD5678">
        <w:rPr>
          <w:rFonts w:eastAsia="Arial" w:cs="Arial"/>
          <w:szCs w:val="24"/>
        </w:rPr>
        <w:t>września</w:t>
      </w:r>
      <w:r w:rsidRPr="00CD5678">
        <w:rPr>
          <w:rFonts w:eastAsia="Arial" w:cs="Arial"/>
          <w:szCs w:val="24"/>
        </w:rPr>
        <w:t xml:space="preserve"> 202</w:t>
      </w:r>
      <w:r w:rsidR="006B2E5A" w:rsidRPr="00CD5678">
        <w:rPr>
          <w:rFonts w:eastAsia="Arial" w:cs="Arial"/>
          <w:szCs w:val="24"/>
        </w:rPr>
        <w:t>4</w:t>
      </w:r>
      <w:r w:rsidRPr="00CD5678">
        <w:rPr>
          <w:rFonts w:eastAsia="Arial" w:cs="Arial"/>
          <w:szCs w:val="24"/>
        </w:rPr>
        <w:t xml:space="preserve"> r</w:t>
      </w:r>
      <w:r w:rsidR="006B2E5A" w:rsidRPr="00CD5678">
        <w:rPr>
          <w:rStyle w:val="Odwoanieprzypisudolnego"/>
          <w:rFonts w:eastAsia="Arial" w:cs="Arial"/>
          <w:szCs w:val="24"/>
        </w:rPr>
        <w:footnoteReference w:id="5"/>
      </w:r>
      <w:r w:rsidRPr="00CD5678">
        <w:rPr>
          <w:rFonts w:eastAsia="Arial" w:cs="Arial"/>
          <w:szCs w:val="24"/>
        </w:rPr>
        <w:t>. do 31 grudnia 2029 r. (z zastrzeżeniem zasad dotyczących pomocy publicznej).</w:t>
      </w:r>
    </w:p>
    <w:p w14:paraId="261E7B6E" w14:textId="1F2C250A" w:rsidR="00F97EDB" w:rsidRPr="00F97EDB" w:rsidRDefault="00F97EDB" w:rsidP="00F97EDB">
      <w:r w:rsidRPr="00CD5678">
        <w:t>Inwestycja może zostać zakończona przed złożeniem wniosku o dofinansowanie, zgodnie z rozporządzeniem Parlamentu Europejskiego i Rady (UE) 2024/3236 z dnia 19 grudnia 2024 r., zmieniającym rozporządzenia (UE) 2021/1057 oraz (UE) 2021/1058 w odniesieniu do regionalnego wsparcia na rzecz odbudowy w sytuacjach nadzwyczajnych (RESTORE).</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1318720B" w14:textId="4F4112B3" w:rsidR="00F256A4" w:rsidRDefault="0BA3B59D" w:rsidP="00CC0FF0">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5" w:name="_Toc181002426"/>
      <w:r>
        <w:t xml:space="preserve">Wniosek o </w:t>
      </w:r>
      <w:r w:rsidRPr="00E72D9B">
        <w:t>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000463A9">
      <w:pPr>
        <w:pStyle w:val="Nagwek2"/>
        <w:numPr>
          <w:ilvl w:val="1"/>
          <w:numId w:val="17"/>
        </w:numPr>
        <w:spacing w:after="240"/>
        <w:ind w:left="646"/>
      </w:pPr>
      <w:bookmarkStart w:id="42" w:name="_Toc110860386"/>
      <w:bookmarkStart w:id="43" w:name="_Toc111010161"/>
      <w:bookmarkStart w:id="44" w:name="_Toc111010218"/>
      <w:bookmarkStart w:id="45" w:name="_Toc114570842"/>
      <w:bookmarkStart w:id="46" w:name="_Toc181002427"/>
      <w:bookmarkEnd w:id="42"/>
      <w:r>
        <w:t xml:space="preserve">Sposób złożenia </w:t>
      </w:r>
      <w:r w:rsidRPr="00D8589B">
        <w:t>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150270">
      <w:pPr>
        <w:pStyle w:val="Akapitzlist"/>
        <w:numPr>
          <w:ilvl w:val="0"/>
          <w:numId w:val="27"/>
        </w:numPr>
      </w:pPr>
      <w:r w:rsidRPr="00376F1B">
        <w:t>Z</w:t>
      </w:r>
      <w:r w:rsidR="5E0C28DB" w:rsidRPr="00376F1B">
        <w:t xml:space="preserve">arejestruj konto użytkownika pod adresem </w:t>
      </w:r>
      <w:hyperlink r:id="rId24">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150270">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150270">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150270">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150270">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150270">
      <w:pPr>
        <w:pStyle w:val="Akapitzlist"/>
        <w:numPr>
          <w:ilvl w:val="0"/>
          <w:numId w:val="27"/>
        </w:numPr>
      </w:pPr>
      <w:r w:rsidRPr="005E7ED0">
        <w:lastRenderedPageBreak/>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150270">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49" w:name="_Toc181002428"/>
      <w:bookmarkEnd w:id="48"/>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729E71A2" w14:textId="77777777" w:rsidR="00903DAD" w:rsidRDefault="00903DAD" w:rsidP="00150270">
      <w:pPr>
        <w:pStyle w:val="Akapitzlist"/>
        <w:rPr>
          <w:lang w:eastAsia="pl-PL"/>
        </w:rPr>
      </w:pPr>
    </w:p>
    <w:p w14:paraId="729E95B7" w14:textId="23BA4E8F" w:rsidR="005F6489" w:rsidRDefault="005F6489" w:rsidP="00150270">
      <w:pPr>
        <w:pStyle w:val="Akapitzlist"/>
        <w:numPr>
          <w:ilvl w:val="0"/>
          <w:numId w:val="32"/>
        </w:numPr>
        <w:rPr>
          <w:lang w:eastAsia="pl-PL"/>
        </w:rPr>
      </w:pPr>
      <w:r w:rsidRPr="3915EE4C">
        <w:rPr>
          <w:lang w:eastAsia="pl-PL"/>
        </w:rPr>
        <w:t xml:space="preserve">Protokół szkód Wojewódzkiej Komisji ds. weryfikacji strat powstałych w wyniku zdarzeń noszących znamiona klęski żywiołowej, działającej na zlecenie Wojewody Śląskiego – </w:t>
      </w:r>
      <w:r w:rsidR="00D84D23" w:rsidRPr="3915EE4C">
        <w:rPr>
          <w:lang w:eastAsia="pl-PL"/>
        </w:rPr>
        <w:t>będący</w:t>
      </w:r>
      <w:r w:rsidRPr="3915EE4C">
        <w:rPr>
          <w:lang w:eastAsia="pl-PL"/>
        </w:rPr>
        <w:t xml:space="preserve"> podstaw</w:t>
      </w:r>
      <w:r w:rsidR="00A96A62" w:rsidRPr="3915EE4C">
        <w:rPr>
          <w:lang w:eastAsia="pl-PL"/>
        </w:rPr>
        <w:t>ą</w:t>
      </w:r>
      <w:r w:rsidRPr="3915EE4C">
        <w:rPr>
          <w:lang w:eastAsia="pl-PL"/>
        </w:rPr>
        <w:t xml:space="preserve"> wyznaczenia </w:t>
      </w:r>
      <w:r w:rsidR="00400841" w:rsidRPr="3915EE4C">
        <w:rPr>
          <w:lang w:eastAsia="pl-PL"/>
        </w:rPr>
        <w:t xml:space="preserve">ciągu drogowego </w:t>
      </w:r>
      <w:r w:rsidR="4776DC66" w:rsidRPr="3915EE4C">
        <w:rPr>
          <w:lang w:eastAsia="pl-PL"/>
        </w:rPr>
        <w:t xml:space="preserve">lub innych elementów infrastruktury drogowej </w:t>
      </w:r>
      <w:r w:rsidRPr="3915EE4C">
        <w:rPr>
          <w:lang w:eastAsia="pl-PL"/>
        </w:rPr>
        <w:t>objęt</w:t>
      </w:r>
      <w:r w:rsidR="3FA1FBCE" w:rsidRPr="3915EE4C">
        <w:rPr>
          <w:lang w:eastAsia="pl-PL"/>
        </w:rPr>
        <w:t>ych</w:t>
      </w:r>
      <w:r w:rsidRPr="3915EE4C">
        <w:rPr>
          <w:lang w:eastAsia="pl-PL"/>
        </w:rPr>
        <w:t xml:space="preserve"> zakresem projektu.</w:t>
      </w:r>
    </w:p>
    <w:p w14:paraId="423588B1" w14:textId="019956AB" w:rsidR="00903DAD" w:rsidRPr="00EA7FBD" w:rsidRDefault="00903DAD" w:rsidP="00150270">
      <w:pPr>
        <w:pStyle w:val="Akapitzlist"/>
        <w:numPr>
          <w:ilvl w:val="0"/>
          <w:numId w:val="32"/>
        </w:numPr>
        <w:rPr>
          <w:lang w:eastAsia="pl-PL"/>
        </w:rPr>
      </w:pPr>
      <w:r w:rsidRPr="00EA7FBD">
        <w:rPr>
          <w:lang w:eastAsia="pl-PL"/>
        </w:rPr>
        <w:t>Analiza finansowa i ekonomiczna,</w:t>
      </w:r>
    </w:p>
    <w:p w14:paraId="490D2A64" w14:textId="26C88CFE" w:rsidR="00903DAD" w:rsidRDefault="00903DAD" w:rsidP="00150270">
      <w:pPr>
        <w:pStyle w:val="Akapitzlist"/>
        <w:numPr>
          <w:ilvl w:val="0"/>
          <w:numId w:val="32"/>
        </w:numPr>
        <w:rPr>
          <w:lang w:eastAsia="pl-PL"/>
        </w:rPr>
      </w:pPr>
      <w:r w:rsidRPr="0AA0C7EA">
        <w:rPr>
          <w:lang w:eastAsia="pl-PL"/>
        </w:rPr>
        <w:t>Informacja o prawie do dysponowania nieruchomością.</w:t>
      </w:r>
    </w:p>
    <w:p w14:paraId="591095D1" w14:textId="6701CC2D" w:rsidR="00827470" w:rsidRDefault="00827470" w:rsidP="00150270">
      <w:pPr>
        <w:pStyle w:val="Akapitzlist"/>
        <w:numPr>
          <w:ilvl w:val="0"/>
          <w:numId w:val="32"/>
        </w:numPr>
        <w:rPr>
          <w:lang w:eastAsia="pl-PL"/>
        </w:rPr>
      </w:pPr>
      <w:r w:rsidRPr="00827470">
        <w:t xml:space="preserve">Mapa przedstawiająca infrastrukturę objętą zakresem projektu, umożliwiająca ocenę spełnienia merytorycznego kryterium dostępowego: </w:t>
      </w:r>
      <w:r w:rsidRPr="00827470">
        <w:rPr>
          <w:i/>
          <w:iCs/>
        </w:rPr>
        <w:t>zgodność projektu z zakresem terytorialnym i przedmiotowym interwencji po klęsce żywiołowej</w:t>
      </w:r>
      <w:r>
        <w:t>.</w:t>
      </w:r>
    </w:p>
    <w:p w14:paraId="4B02D3A8" w14:textId="140DE401" w:rsidR="00A96A62" w:rsidRDefault="00A96A62" w:rsidP="00A96A62">
      <w:pPr>
        <w:pStyle w:val="Akapitzlist"/>
        <w:numPr>
          <w:ilvl w:val="0"/>
          <w:numId w:val="32"/>
        </w:numPr>
        <w:rPr>
          <w:lang w:eastAsia="pl-PL"/>
        </w:rPr>
      </w:pPr>
      <w:r>
        <w:rPr>
          <w:lang w:eastAsia="pl-PL"/>
        </w:rPr>
        <w:t>Zaświadczenie/ deklaracja organu odpowiedzialnego za monitorowanie obszarów Natura 2000.</w:t>
      </w:r>
    </w:p>
    <w:p w14:paraId="5D56D7F8" w14:textId="167D1EBA" w:rsidR="005F6489" w:rsidRPr="005F6489" w:rsidRDefault="005F6489" w:rsidP="005F6489">
      <w:pPr>
        <w:rPr>
          <w:b/>
          <w:lang w:eastAsia="pl-PL"/>
        </w:rPr>
      </w:pPr>
      <w:r w:rsidRPr="005F6489">
        <w:rPr>
          <w:b/>
          <w:lang w:eastAsia="pl-PL"/>
        </w:rPr>
        <w:t xml:space="preserve">Załączniki dodatkowe: </w:t>
      </w:r>
    </w:p>
    <w:p w14:paraId="4335A597" w14:textId="77777777" w:rsidR="005F6489" w:rsidRDefault="005F6489" w:rsidP="00150270">
      <w:pPr>
        <w:pStyle w:val="Akapitzlist"/>
        <w:numPr>
          <w:ilvl w:val="0"/>
          <w:numId w:val="40"/>
        </w:numPr>
        <w:rPr>
          <w:lang w:eastAsia="pl-PL"/>
        </w:rPr>
      </w:pPr>
      <w:r w:rsidRPr="58166AF8">
        <w:rPr>
          <w:lang w:eastAsia="pl-PL"/>
        </w:rPr>
        <w:t>Oświadczenie o kwalifikowalności VAT.</w:t>
      </w:r>
    </w:p>
    <w:p w14:paraId="7C1E7030" w14:textId="77777777" w:rsidR="005F6489" w:rsidRDefault="005F6489" w:rsidP="00150270">
      <w:pPr>
        <w:pStyle w:val="Akapitzlist"/>
        <w:numPr>
          <w:ilvl w:val="0"/>
          <w:numId w:val="40"/>
        </w:numPr>
        <w:rPr>
          <w:lang w:eastAsia="pl-PL"/>
        </w:rPr>
      </w:pPr>
      <w:r>
        <w:rPr>
          <w:lang w:eastAsia="pl-PL"/>
        </w:rPr>
        <w:lastRenderedPageBreak/>
        <w:t>Statut lub inny dokument potwierdzający formę prawną wnioskodawcy/ partnera.</w:t>
      </w:r>
    </w:p>
    <w:p w14:paraId="36C2D594" w14:textId="77777777" w:rsidR="005F6489" w:rsidRDefault="005F6489" w:rsidP="00150270">
      <w:pPr>
        <w:pStyle w:val="Akapitzlist"/>
        <w:numPr>
          <w:ilvl w:val="0"/>
          <w:numId w:val="40"/>
        </w:numPr>
        <w:rPr>
          <w:lang w:eastAsia="pl-PL"/>
        </w:rPr>
      </w:pPr>
      <w:r>
        <w:rPr>
          <w:lang w:eastAsia="pl-PL"/>
        </w:rPr>
        <w:t xml:space="preserve">Formularz przedstawiany przy ubieganiu się o pomoc de </w:t>
      </w:r>
      <w:proofErr w:type="spellStart"/>
      <w:r>
        <w:rPr>
          <w:lang w:eastAsia="pl-PL"/>
        </w:rPr>
        <w:t>minimis</w:t>
      </w:r>
      <w:proofErr w:type="spellEnd"/>
      <w:r>
        <w:rPr>
          <w:lang w:eastAsia="pl-PL"/>
        </w:rPr>
        <w:t>.</w:t>
      </w:r>
    </w:p>
    <w:p w14:paraId="6B885738" w14:textId="77777777" w:rsidR="005F6489" w:rsidRDefault="005F6489" w:rsidP="00150270">
      <w:pPr>
        <w:pStyle w:val="Akapitzlist"/>
        <w:numPr>
          <w:ilvl w:val="0"/>
          <w:numId w:val="40"/>
        </w:numPr>
        <w:rPr>
          <w:lang w:eastAsia="pl-PL"/>
        </w:rPr>
      </w:pPr>
      <w:r>
        <w:rPr>
          <w:lang w:eastAsia="pl-PL"/>
        </w:rPr>
        <w:t xml:space="preserve">Formularz przedstawiany przy ubieganiu się o pomoc inną niż de </w:t>
      </w:r>
      <w:proofErr w:type="spellStart"/>
      <w:r>
        <w:rPr>
          <w:lang w:eastAsia="pl-PL"/>
        </w:rPr>
        <w:t>minimis</w:t>
      </w:r>
      <w:proofErr w:type="spellEnd"/>
      <w:r>
        <w:rPr>
          <w:lang w:eastAsia="pl-PL"/>
        </w:rPr>
        <w:t>,</w:t>
      </w:r>
    </w:p>
    <w:p w14:paraId="6886F1FB" w14:textId="77777777" w:rsidR="005F6489" w:rsidRDefault="005F6489" w:rsidP="00150270">
      <w:pPr>
        <w:pStyle w:val="Akapitzlist"/>
        <w:numPr>
          <w:ilvl w:val="0"/>
          <w:numId w:val="40"/>
        </w:numPr>
        <w:rPr>
          <w:lang w:eastAsia="pl-PL"/>
        </w:rPr>
      </w:pPr>
      <w:r>
        <w:rPr>
          <w:lang w:eastAsia="pl-PL"/>
        </w:rPr>
        <w:t xml:space="preserve">Zaświadczenie/oświadczenie dotyczące pomocy de </w:t>
      </w:r>
      <w:proofErr w:type="spellStart"/>
      <w:r>
        <w:rPr>
          <w:lang w:eastAsia="pl-PL"/>
        </w:rPr>
        <w:t>minimis</w:t>
      </w:r>
      <w:proofErr w:type="spellEnd"/>
      <w:r>
        <w:rPr>
          <w:lang w:eastAsia="pl-PL"/>
        </w:rPr>
        <w:t>.</w:t>
      </w:r>
    </w:p>
    <w:p w14:paraId="1BFE2717" w14:textId="77777777" w:rsidR="005F6489" w:rsidRDefault="005F6489" w:rsidP="00150270">
      <w:pPr>
        <w:pStyle w:val="Akapitzlist"/>
        <w:numPr>
          <w:ilvl w:val="0"/>
          <w:numId w:val="40"/>
        </w:numPr>
        <w:rPr>
          <w:lang w:eastAsia="pl-PL"/>
        </w:rPr>
      </w:pPr>
      <w:r>
        <w:rPr>
          <w:lang w:eastAsia="pl-PL"/>
        </w:rPr>
        <w:t>Sprawozdania finansowe.</w:t>
      </w:r>
    </w:p>
    <w:p w14:paraId="002E6F55" w14:textId="77777777" w:rsidR="005F6489" w:rsidRDefault="005F6489" w:rsidP="00150270">
      <w:pPr>
        <w:pStyle w:val="Akapitzlist"/>
        <w:numPr>
          <w:ilvl w:val="0"/>
          <w:numId w:val="40"/>
        </w:numPr>
        <w:rPr>
          <w:lang w:eastAsia="pl-PL"/>
        </w:rPr>
      </w:pPr>
      <w:r>
        <w:rPr>
          <w:lang w:eastAsia="pl-PL"/>
        </w:rPr>
        <w:t>Ostateczne zezwolenie na inwestycje (jeżeli wnioskodawca chce starać się o pkt na ocenie merytorycznej).</w:t>
      </w:r>
    </w:p>
    <w:p w14:paraId="75BC9E9C" w14:textId="77777777" w:rsidR="005F6489" w:rsidRDefault="005F6489" w:rsidP="00150270">
      <w:pPr>
        <w:pStyle w:val="Akapitzlist"/>
        <w:numPr>
          <w:ilvl w:val="0"/>
          <w:numId w:val="40"/>
        </w:numPr>
        <w:rPr>
          <w:lang w:eastAsia="pl-PL"/>
        </w:rPr>
      </w:pPr>
      <w:r>
        <w:rPr>
          <w:lang w:eastAsia="pl-PL"/>
        </w:rPr>
        <w:t>Deklaracja zgodności projektu z celami środowiskowymi dla jednolitej części wód lub dokument (informacja) potwierdzający zgodność projektu z celami środowiskowymi dla jednolitej części wód (jeśli dotyczy).</w:t>
      </w:r>
    </w:p>
    <w:p w14:paraId="601DC8A7" w14:textId="77777777" w:rsidR="005F6489" w:rsidRDefault="005F6489" w:rsidP="00150270">
      <w:pPr>
        <w:pStyle w:val="Akapitzlist"/>
        <w:numPr>
          <w:ilvl w:val="0"/>
          <w:numId w:val="40"/>
        </w:numPr>
        <w:rPr>
          <w:lang w:eastAsia="pl-PL"/>
        </w:rPr>
      </w:pPr>
      <w:r>
        <w:rPr>
          <w:lang w:eastAsia="pl-PL"/>
        </w:rPr>
        <w:t>Dokument potwierdzający zgodność z zasadą "zanieczyszczający płaci”.</w:t>
      </w:r>
    </w:p>
    <w:p w14:paraId="71A795FE" w14:textId="77777777" w:rsidR="005F6489" w:rsidRDefault="005F6489" w:rsidP="00150270">
      <w:pPr>
        <w:pStyle w:val="Akapitzlist"/>
        <w:numPr>
          <w:ilvl w:val="0"/>
          <w:numId w:val="40"/>
        </w:numPr>
        <w:rPr>
          <w:lang w:eastAsia="pl-PL"/>
        </w:rPr>
      </w:pPr>
      <w:r>
        <w:rPr>
          <w:lang w:eastAsia="pl-PL"/>
        </w:rPr>
        <w:t>Decyzja o środowiskowych uwarunkowaniach.</w:t>
      </w:r>
    </w:p>
    <w:p w14:paraId="45321D9F" w14:textId="77777777" w:rsidR="005F6489" w:rsidRDefault="005F6489" w:rsidP="00150270">
      <w:pPr>
        <w:pStyle w:val="Akapitzlist"/>
        <w:numPr>
          <w:ilvl w:val="0"/>
          <w:numId w:val="40"/>
        </w:numPr>
        <w:rPr>
          <w:lang w:eastAsia="pl-PL"/>
        </w:rPr>
      </w:pPr>
      <w:r>
        <w:rPr>
          <w:lang w:eastAsia="pl-PL"/>
        </w:rPr>
        <w:t>Kopia zawartej umowy/porozumienia na realizację wspólnego przedsięwzięcia.</w:t>
      </w:r>
    </w:p>
    <w:p w14:paraId="2EA7296A" w14:textId="77777777" w:rsidR="005F6489" w:rsidRDefault="005F6489" w:rsidP="00150270">
      <w:pPr>
        <w:pStyle w:val="Akapitzlist"/>
        <w:numPr>
          <w:ilvl w:val="0"/>
          <w:numId w:val="40"/>
        </w:numPr>
        <w:rPr>
          <w:lang w:eastAsia="pl-PL"/>
        </w:rPr>
      </w:pPr>
      <w:r>
        <w:rPr>
          <w:lang w:eastAsia="pl-PL"/>
        </w:rPr>
        <w:t>Analiza potrzeb i wymagań lub Ocena efektywności realizacji przedsięwzięcia.</w:t>
      </w:r>
    </w:p>
    <w:p w14:paraId="5DEC9A61" w14:textId="77777777" w:rsidR="005F6489" w:rsidRDefault="005F6489" w:rsidP="00150270">
      <w:pPr>
        <w:pStyle w:val="Akapitzlist"/>
        <w:numPr>
          <w:ilvl w:val="0"/>
          <w:numId w:val="40"/>
        </w:numPr>
        <w:rPr>
          <w:lang w:eastAsia="pl-PL"/>
        </w:rPr>
      </w:pPr>
      <w:r>
        <w:rPr>
          <w:lang w:eastAsia="pl-PL"/>
        </w:rPr>
        <w:t xml:space="preserve">Umowa o partnerstwie publiczno-prywatnym. </w:t>
      </w:r>
    </w:p>
    <w:p w14:paraId="58EB5108" w14:textId="4A0909CA" w:rsidR="005F6489" w:rsidRDefault="005F6489" w:rsidP="00150270">
      <w:pPr>
        <w:pStyle w:val="Akapitzlist"/>
        <w:numPr>
          <w:ilvl w:val="0"/>
          <w:numId w:val="40"/>
        </w:numPr>
        <w:rPr>
          <w:lang w:eastAsia="pl-PL"/>
        </w:rPr>
      </w:pPr>
      <w:r>
        <w:rPr>
          <w:lang w:eastAsia="pl-PL"/>
        </w:rPr>
        <w:t xml:space="preserve">Umowa partnerstwa. </w:t>
      </w:r>
    </w:p>
    <w:p w14:paraId="652AA3F6" w14:textId="47E6EB07" w:rsidR="00A96A62" w:rsidRPr="00B11119" w:rsidRDefault="00A96A62" w:rsidP="00A96A62">
      <w:pPr>
        <w:pStyle w:val="Akapitzlist"/>
        <w:numPr>
          <w:ilvl w:val="0"/>
          <w:numId w:val="40"/>
        </w:numPr>
        <w:rPr>
          <w:lang w:eastAsia="pl-PL"/>
        </w:rPr>
      </w:pPr>
      <w:r w:rsidRPr="00B11119">
        <w:rPr>
          <w:lang w:eastAsia="pl-PL"/>
        </w:rPr>
        <w:t xml:space="preserve">Dokumentacja techniczna dla projektów infrastrukturalnych: Projekt budowlany albo PFU (wraz z trybem zaprojektuj i wybuduj) </w:t>
      </w:r>
      <w:r w:rsidR="03F89F7D" w:rsidRPr="00B11119">
        <w:rPr>
          <w:lang w:eastAsia="pl-PL"/>
        </w:rPr>
        <w:t xml:space="preserve">- </w:t>
      </w:r>
      <w:r w:rsidRPr="00B11119">
        <w:rPr>
          <w:lang w:eastAsia="pl-PL"/>
        </w:rPr>
        <w:t>nie musi być dołączona do wniosku o dofinansowanie</w:t>
      </w:r>
    </w:p>
    <w:p w14:paraId="3ED62395" w14:textId="77777777" w:rsidR="005F6489" w:rsidRDefault="005F6489"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53715BA8"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lastRenderedPageBreak/>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0" w:name="_Toc181002429"/>
      <w:r>
        <w:t xml:space="preserve">Awaria </w:t>
      </w:r>
      <w:r w:rsidRPr="00D8589B">
        <w:t>LSI</w:t>
      </w:r>
      <w:r>
        <w:t xml:space="preserve"> </w:t>
      </w:r>
      <w:r w:rsidRPr="00E72D9B">
        <w:t>2021</w:t>
      </w:r>
      <w:bookmarkEnd w:id="50"/>
    </w:p>
    <w:p w14:paraId="47E3FD7E" w14:textId="25803D53" w:rsidR="0017685C" w:rsidRPr="00D50B47" w:rsidRDefault="0017685C" w:rsidP="000463A9">
      <w:pPr>
        <w:pStyle w:val="Nagwek3"/>
        <w:numPr>
          <w:ilvl w:val="2"/>
          <w:numId w:val="17"/>
        </w:numPr>
        <w:ind w:hanging="1"/>
        <w:rPr>
          <w:rFonts w:eastAsia="Times New Roman"/>
          <w:lang w:eastAsia="pl-PL"/>
        </w:rPr>
      </w:pPr>
      <w:bookmarkStart w:id="51" w:name="_Toc146709678"/>
      <w:bookmarkStart w:id="52" w:name="_Toc181002430"/>
      <w:r>
        <w:rPr>
          <w:rFonts w:eastAsia="Times New Roman"/>
          <w:lang w:eastAsia="pl-PL"/>
        </w:rPr>
        <w:t>Awaria krytyczna</w:t>
      </w:r>
      <w:bookmarkEnd w:id="51"/>
      <w:bookmarkEnd w:id="52"/>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150270">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150270">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150270">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3" w:name="_Toc181002431"/>
      <w:r w:rsidRPr="0017685C">
        <w:rPr>
          <w:rFonts w:eastAsia="Times New Roman"/>
          <w:lang w:eastAsia="pl-PL"/>
        </w:rPr>
        <w:t>3.3.2</w:t>
      </w:r>
      <w:r w:rsidRPr="0017685C">
        <w:rPr>
          <w:rFonts w:eastAsia="Times New Roman"/>
          <w:lang w:eastAsia="pl-PL"/>
        </w:rPr>
        <w:tab/>
        <w:t>Inne awarie systemu</w:t>
      </w:r>
      <w:bookmarkEnd w:id="53"/>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4" w:name="_Toc181002432"/>
      <w:r w:rsidRPr="004F3245">
        <w:rPr>
          <w:rFonts w:eastAsia="Times New Roman"/>
          <w:lang w:eastAsia="pl-PL"/>
        </w:rPr>
        <w:t>3.3.3</w:t>
      </w:r>
      <w:r w:rsidRPr="004F3245">
        <w:rPr>
          <w:rFonts w:eastAsia="Times New Roman"/>
          <w:lang w:eastAsia="pl-PL"/>
        </w:rPr>
        <w:tab/>
        <w:t>Sposoby zgłaszania awarii i błędów LSI 2021</w:t>
      </w:r>
      <w:bookmarkEnd w:id="54"/>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5"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lastRenderedPageBreak/>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150270">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150270">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150270">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150270">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150270">
      <w:pPr>
        <w:pStyle w:val="Akapitzlist"/>
        <w:numPr>
          <w:ilvl w:val="1"/>
          <w:numId w:val="18"/>
        </w:numPr>
        <w:rPr>
          <w:lang w:eastAsia="pl-PL"/>
        </w:rPr>
      </w:pPr>
      <w:r w:rsidRPr="001026C8">
        <w:rPr>
          <w:lang w:eastAsia="pl-PL"/>
        </w:rPr>
        <w:t>numer naboru,</w:t>
      </w:r>
    </w:p>
    <w:p w14:paraId="664259F5" w14:textId="54990658" w:rsidR="001026C8" w:rsidRPr="001026C8" w:rsidRDefault="001026C8" w:rsidP="00150270">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150270">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150270">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150270">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150270">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150270">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5" w:name="_Toc181002433"/>
      <w:r w:rsidRPr="00AD5B58">
        <w:t>Unieważnienie postępowania w zakresie wyboru projektów</w:t>
      </w:r>
      <w:bookmarkEnd w:id="55"/>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150270">
      <w:pPr>
        <w:pStyle w:val="Akapitzlist"/>
        <w:numPr>
          <w:ilvl w:val="0"/>
          <w:numId w:val="14"/>
        </w:numPr>
        <w:rPr>
          <w:lang w:eastAsia="pl-PL"/>
        </w:rPr>
      </w:pPr>
      <w:r w:rsidRPr="001D4CD8">
        <w:rPr>
          <w:lang w:eastAsia="pl-PL"/>
        </w:rPr>
        <w:lastRenderedPageBreak/>
        <w:t>w terminie składania wniosków o dofinansowanie projektu nie złożono wniosku lub</w:t>
      </w:r>
    </w:p>
    <w:p w14:paraId="3872F6A6" w14:textId="77777777" w:rsidR="002C6678" w:rsidRPr="001D4CD8" w:rsidRDefault="002C6678" w:rsidP="00150270">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150270">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6" w:name="_Toc114570845"/>
      <w:r>
        <w:br w:type="page"/>
      </w:r>
    </w:p>
    <w:p w14:paraId="24B5E0EC" w14:textId="77777777" w:rsidR="00E72D9B" w:rsidRPr="009B4AF2" w:rsidRDefault="00E72D9B" w:rsidP="000463A9">
      <w:pPr>
        <w:pStyle w:val="Nagwek1"/>
        <w:numPr>
          <w:ilvl w:val="0"/>
          <w:numId w:val="17"/>
        </w:numPr>
      </w:pPr>
      <w:bookmarkStart w:id="57" w:name="_Toc181002434"/>
      <w:r>
        <w:lastRenderedPageBreak/>
        <w:t>Kryteria wyboru projektów i wskaźniki</w:t>
      </w:r>
      <w:bookmarkStart w:id="58" w:name="_Toc110860026"/>
      <w:bookmarkStart w:id="59" w:name="_Toc110860061"/>
      <w:bookmarkEnd w:id="56"/>
      <w:bookmarkEnd w:id="57"/>
      <w:bookmarkEnd w:id="58"/>
      <w:bookmarkEnd w:id="59"/>
    </w:p>
    <w:p w14:paraId="7082825E" w14:textId="17314167" w:rsidR="00B84491" w:rsidRPr="000E2D85" w:rsidRDefault="00E72D9B" w:rsidP="000463A9">
      <w:pPr>
        <w:pStyle w:val="Nagwek2"/>
        <w:numPr>
          <w:ilvl w:val="1"/>
          <w:numId w:val="17"/>
        </w:numPr>
        <w:spacing w:after="240" w:line="240" w:lineRule="auto"/>
        <w:rPr>
          <w:sz w:val="22"/>
          <w:szCs w:val="22"/>
        </w:rPr>
      </w:pPr>
      <w:bookmarkStart w:id="60" w:name="_Toc110860392"/>
      <w:bookmarkStart w:id="61" w:name="_Toc111010164"/>
      <w:bookmarkStart w:id="62" w:name="_Toc111010221"/>
      <w:bookmarkStart w:id="63" w:name="_Toc114570846"/>
      <w:bookmarkStart w:id="64" w:name="_Toc181002435"/>
      <w:bookmarkEnd w:id="60"/>
      <w:r w:rsidRPr="004258FE">
        <w:rPr>
          <w:sz w:val="22"/>
          <w:szCs w:val="22"/>
        </w:rPr>
        <w:t>Kryteria wyboru</w:t>
      </w:r>
      <w:bookmarkEnd w:id="61"/>
      <w:bookmarkEnd w:id="62"/>
      <w:bookmarkEnd w:id="63"/>
      <w:r w:rsidRPr="004258FE">
        <w:rPr>
          <w:sz w:val="22"/>
          <w:szCs w:val="22"/>
        </w:rPr>
        <w:t xml:space="preserve"> projektów</w:t>
      </w:r>
      <w:bookmarkEnd w:id="64"/>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5" w:name="_Toc111010165"/>
      <w:bookmarkStart w:id="66" w:name="_Toc111010222"/>
      <w:bookmarkStart w:id="67" w:name="_Toc114570847"/>
      <w:bookmarkStart w:id="68" w:name="_Toc181002436"/>
      <w:r w:rsidRPr="002C46D9">
        <w:rPr>
          <w:sz w:val="22"/>
          <w:szCs w:val="22"/>
        </w:rPr>
        <w:t>Wskaźniki</w:t>
      </w:r>
      <w:bookmarkEnd w:id="65"/>
      <w:bookmarkEnd w:id="66"/>
      <w:bookmarkEnd w:id="67"/>
      <w:bookmarkEnd w:id="68"/>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9"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0" w:name="_Toc114570848"/>
      <w:bookmarkEnd w:id="69"/>
      <w:r w:rsidR="00E72D9B">
        <w:br w:type="page"/>
      </w:r>
    </w:p>
    <w:p w14:paraId="1DCAB143" w14:textId="77777777" w:rsidR="00E72D9B" w:rsidRDefault="78FB0BA2" w:rsidP="000463A9">
      <w:pPr>
        <w:pStyle w:val="Nagwek1"/>
        <w:numPr>
          <w:ilvl w:val="0"/>
          <w:numId w:val="17"/>
        </w:numPr>
        <w:spacing w:before="240" w:after="240"/>
      </w:pPr>
      <w:bookmarkStart w:id="71" w:name="_Toc181002437"/>
      <w:r>
        <w:lastRenderedPageBreak/>
        <w:t>W</w:t>
      </w:r>
      <w:r w:rsidR="2E85F236">
        <w:t>yb</w:t>
      </w:r>
      <w:r w:rsidR="1BE534BE">
        <w:t>ó</w:t>
      </w:r>
      <w:r w:rsidR="2E85F236">
        <w:t>r projektów do dofinansowania</w:t>
      </w:r>
      <w:bookmarkStart w:id="72" w:name="_Toc110860030"/>
      <w:bookmarkStart w:id="73" w:name="_Toc110860065"/>
      <w:bookmarkEnd w:id="70"/>
      <w:bookmarkEnd w:id="71"/>
      <w:bookmarkEnd w:id="72"/>
      <w:bookmarkEnd w:id="73"/>
    </w:p>
    <w:p w14:paraId="03FF1323" w14:textId="77777777" w:rsidR="00E72D9B" w:rsidRDefault="00E72D9B" w:rsidP="000463A9">
      <w:pPr>
        <w:pStyle w:val="Nagwek2"/>
        <w:numPr>
          <w:ilvl w:val="1"/>
          <w:numId w:val="17"/>
        </w:numPr>
        <w:spacing w:before="240" w:after="240"/>
      </w:pPr>
      <w:bookmarkStart w:id="74" w:name="_Toc110860396"/>
      <w:bookmarkStart w:id="75" w:name="_Toc111010166"/>
      <w:bookmarkStart w:id="76" w:name="_Toc111010223"/>
      <w:bookmarkStart w:id="77" w:name="_Toc114570849"/>
      <w:bookmarkStart w:id="78" w:name="_Toc181002438"/>
      <w:bookmarkEnd w:id="74"/>
      <w:r>
        <w:t>Sposób wyboru projektów</w:t>
      </w:r>
      <w:bookmarkEnd w:id="75"/>
      <w:bookmarkEnd w:id="76"/>
      <w:bookmarkEnd w:id="77"/>
      <w:bookmarkEnd w:id="78"/>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7C43A52B" w14:textId="647250E0" w:rsidR="00676CAC"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9" w:name="_Toc181002439"/>
      <w:r w:rsidRPr="00D131C4">
        <w:t xml:space="preserve">Opis procedury </w:t>
      </w:r>
      <w:r w:rsidR="02EACD4B">
        <w:t>oceny</w:t>
      </w:r>
      <w:r w:rsidRPr="00D131C4">
        <w:t xml:space="preserve"> projektów</w:t>
      </w:r>
      <w:bookmarkEnd w:id="79"/>
    </w:p>
    <w:p w14:paraId="3B439C49" w14:textId="77777777" w:rsidR="00DF2F73" w:rsidRPr="00013DD6" w:rsidRDefault="00082025" w:rsidP="00013DD6">
      <w:bookmarkStart w:id="80"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0"/>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150270">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150270">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150270">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150270">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150270">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150270">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1"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1"/>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2" w:name="_Toc111010167"/>
      <w:bookmarkStart w:id="83" w:name="_Toc111010224"/>
      <w:bookmarkStart w:id="84" w:name="_Toc114570850"/>
      <w:bookmarkStart w:id="85" w:name="_Toc181002440"/>
      <w:r>
        <w:t xml:space="preserve">Uzupełnienie </w:t>
      </w:r>
      <w:r w:rsidR="24F4C843">
        <w:t xml:space="preserve">i poprawa </w:t>
      </w:r>
      <w:r>
        <w:t>wniosków</w:t>
      </w:r>
      <w:bookmarkEnd w:id="82"/>
      <w:bookmarkEnd w:id="83"/>
      <w:bookmarkEnd w:id="84"/>
      <w:r>
        <w:t xml:space="preserve"> o dofinansowanie</w:t>
      </w:r>
      <w:bookmarkEnd w:id="85"/>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150270">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150270">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6" w:name="_Hlk119500519"/>
      <w:r w:rsidRPr="00ED5AEE">
        <w:rPr>
          <w:b/>
          <w:bCs/>
        </w:rPr>
        <w:t>Poprawa/uzupełnienie WOD następuje w LSI2021</w:t>
      </w:r>
      <w:bookmarkEnd w:id="86"/>
      <w:r w:rsidRPr="00ED5AEE">
        <w:rPr>
          <w:b/>
          <w:bCs/>
        </w:rPr>
        <w:t>.</w:t>
      </w:r>
    </w:p>
    <w:p w14:paraId="5B468705" w14:textId="77777777" w:rsidR="00E72D9B" w:rsidRDefault="2E85F236" w:rsidP="000463A9">
      <w:pPr>
        <w:pStyle w:val="Nagwek2"/>
        <w:numPr>
          <w:ilvl w:val="1"/>
          <w:numId w:val="17"/>
        </w:numPr>
        <w:spacing w:before="240" w:after="240"/>
      </w:pPr>
      <w:bookmarkStart w:id="87" w:name="_Toc181002441"/>
      <w:r>
        <w:t>Wyniki oceny</w:t>
      </w:r>
      <w:bookmarkEnd w:id="87"/>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8" w:name="_Hlk129785742"/>
      <w:r w:rsidRPr="00E76249">
        <w:rPr>
          <w:bCs/>
        </w:rPr>
        <w:t>publikowane będą także na stronie internetowej FE SL 2021-2027 oraz na portalu</w:t>
      </w:r>
      <w:bookmarkEnd w:id="88"/>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150270">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150270">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377D8038" w:rsidR="7CBA240D" w:rsidRPr="00EF2F3E" w:rsidRDefault="25C3CA2A">
      <w:r>
        <w:t>W ramach postępow</w:t>
      </w:r>
      <w:r w:rsidR="405B6AD0">
        <w:t xml:space="preserve">ania </w:t>
      </w:r>
      <w:r>
        <w:t>w</w:t>
      </w:r>
      <w:r w:rsidR="08836DD3">
        <w:t>ybierzemy do dofinansowania wszystkie projekty, które spełniły wymagane kryteria oraz uzyskały kolejno największą liczbę punktów.</w:t>
      </w:r>
      <w:r w:rsidR="328A4AE4">
        <w:t xml:space="preserve"> W przypadku projektów, które </w:t>
      </w:r>
      <w:r w:rsidR="754B719F">
        <w:t>uzyskały tak</w:t>
      </w:r>
      <w:r w:rsidR="702B5C7A">
        <w:t>ą</w:t>
      </w:r>
      <w:r w:rsidR="754B719F">
        <w:t xml:space="preserve"> sam</w:t>
      </w:r>
      <w:r w:rsidR="2A18260E">
        <w:t>ą</w:t>
      </w:r>
      <w:r w:rsidR="754B719F">
        <w:t xml:space="preserve"> liczbę punktów o kolejności wyboru </w:t>
      </w:r>
      <w:r w:rsidR="74F28497">
        <w:t>przesądz</w:t>
      </w:r>
      <w:r w:rsidR="26F82AC9">
        <w:t>ą</w:t>
      </w:r>
      <w:r w:rsidR="754B719F">
        <w:t xml:space="preserve"> kryteria </w:t>
      </w:r>
      <w:r w:rsidR="5AE509D6">
        <w:t>rozstrzygające</w:t>
      </w:r>
      <w:r w:rsidR="754B719F">
        <w:t xml:space="preserve"> </w:t>
      </w:r>
      <w:r w:rsidR="510986D2">
        <w:t>określone</w:t>
      </w:r>
      <w:r w:rsidR="754B719F">
        <w:t xml:space="preserve"> przez Komite</w:t>
      </w:r>
      <w:r w:rsidR="52E75E5F">
        <w:t>t Monitorujący FE SL 202</w:t>
      </w:r>
      <w:r w:rsidR="746763EA">
        <w:t>1</w:t>
      </w:r>
      <w:r w:rsidR="52E75E5F">
        <w:t>-</w:t>
      </w:r>
      <w:r w:rsidR="52E75E5F">
        <w:lastRenderedPageBreak/>
        <w:t>202</w:t>
      </w:r>
      <w:r w:rsidR="4AFCB728">
        <w:t>7</w:t>
      </w:r>
      <w:r w:rsidR="52E75E5F">
        <w:t>.</w:t>
      </w:r>
      <w:r w:rsidR="659E1C25">
        <w:t xml:space="preserve"> </w:t>
      </w:r>
      <w:r w:rsidR="01316AA9">
        <w:t>Kwota dofinansowania</w:t>
      </w:r>
      <w:r w:rsidR="2123BC73">
        <w:t xml:space="preserve"> </w:t>
      </w:r>
      <w:r w:rsidR="0B30F92C">
        <w:t>wszystkich</w:t>
      </w:r>
      <w:r w:rsidR="01316AA9">
        <w:t xml:space="preserve"> projektów </w:t>
      </w:r>
      <w:r w:rsidR="0EA695B3">
        <w:t>wybranych</w:t>
      </w:r>
      <w:r w:rsidR="483D2D0E">
        <w:t xml:space="preserve"> </w:t>
      </w:r>
      <w:r w:rsidR="01316AA9">
        <w:t>nie może przekr</w:t>
      </w:r>
      <w:r w:rsidR="0A10FB5C">
        <w:t>o</w:t>
      </w:r>
      <w:r w:rsidR="01316AA9">
        <w:t>cz</w:t>
      </w:r>
      <w:r w:rsidR="7AD48EFF">
        <w:t>yć</w:t>
      </w:r>
      <w:r w:rsidR="01316AA9">
        <w:t xml:space="preserve"> kwoty wskazanej w punkcie 2.1 w Regulaminie</w:t>
      </w:r>
      <w:r w:rsidR="002D1B7B">
        <w:rPr>
          <w:rStyle w:val="Odwoanieprzypisudolnego"/>
        </w:rPr>
        <w:footnoteReference w:id="6"/>
      </w:r>
      <w:r w:rsidR="01316AA9">
        <w:t>.</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9" w:name="_Toc111010169"/>
      <w:bookmarkStart w:id="90" w:name="_Toc111010226"/>
      <w:bookmarkStart w:id="91" w:name="_Toc114570852"/>
      <w:bookmarkStart w:id="92" w:name="_Toc181002442"/>
      <w:r>
        <w:t>Procedura odwoławcza</w:t>
      </w:r>
      <w:bookmarkEnd w:id="89"/>
      <w:bookmarkEnd w:id="90"/>
      <w:bookmarkEnd w:id="91"/>
      <w:bookmarkEnd w:id="92"/>
    </w:p>
    <w:p w14:paraId="202F18EC" w14:textId="77777777" w:rsidR="00E72D9B" w:rsidRDefault="00E72D9B" w:rsidP="00E72D9B">
      <w:bookmarkStart w:id="93"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3"/>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150270">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150270">
      <w:pPr>
        <w:pStyle w:val="Akapitzlist"/>
        <w:numPr>
          <w:ilvl w:val="0"/>
          <w:numId w:val="4"/>
        </w:numPr>
      </w:pPr>
      <w:r>
        <w:t>Twoje dane</w:t>
      </w:r>
      <w:r w:rsidR="007755D5">
        <w:t xml:space="preserve"> (nazwę Wnioskodawcy, adres)</w:t>
      </w:r>
      <w:r>
        <w:t>;</w:t>
      </w:r>
    </w:p>
    <w:p w14:paraId="6F8D0BEA" w14:textId="77777777" w:rsidR="00E72D9B" w:rsidRDefault="00E72D9B" w:rsidP="00150270">
      <w:pPr>
        <w:pStyle w:val="Akapitzlist"/>
        <w:numPr>
          <w:ilvl w:val="0"/>
          <w:numId w:val="4"/>
        </w:numPr>
      </w:pPr>
      <w:r>
        <w:t>numer wniosku o dofinansowanie (którego oceny dotyczy protest);</w:t>
      </w:r>
    </w:p>
    <w:p w14:paraId="110F020D" w14:textId="77777777" w:rsidR="00E72D9B" w:rsidRDefault="00E72D9B" w:rsidP="00150270">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150270">
      <w:pPr>
        <w:pStyle w:val="Akapitzlist"/>
        <w:numPr>
          <w:ilvl w:val="0"/>
          <w:numId w:val="4"/>
        </w:numPr>
      </w:pPr>
      <w:r>
        <w:t>zarzuty proceduralne, jeżeli uważasz, że takie naruszenia miały miejsce (wraz z uzasadnieniem);</w:t>
      </w:r>
    </w:p>
    <w:p w14:paraId="15F3B7AE" w14:textId="77777777" w:rsidR="00E72D9B" w:rsidRDefault="00E72D9B" w:rsidP="00150270">
      <w:pPr>
        <w:pStyle w:val="Akapitzlist"/>
        <w:numPr>
          <w:ilvl w:val="0"/>
          <w:numId w:val="4"/>
        </w:numPr>
      </w:pPr>
      <w:r>
        <w:lastRenderedPageBreak/>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4"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4"/>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150270">
      <w:pPr>
        <w:pStyle w:val="Akapitzlist"/>
        <w:numPr>
          <w:ilvl w:val="0"/>
          <w:numId w:val="5"/>
        </w:numPr>
      </w:pPr>
      <w:r>
        <w:t>podważać zasadności kryteriów oceny;</w:t>
      </w:r>
    </w:p>
    <w:p w14:paraId="0FAB74FE" w14:textId="77777777" w:rsidR="00E72D9B" w:rsidRDefault="00E72D9B" w:rsidP="00150270">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150270">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150270">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150270">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lastRenderedPageBreak/>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150270">
      <w:pPr>
        <w:pStyle w:val="Akapitzlist"/>
        <w:numPr>
          <w:ilvl w:val="0"/>
          <w:numId w:val="6"/>
        </w:numPr>
      </w:pPr>
      <w:r>
        <w:t>zostanie on pozostawiony bez rozpatrzenia;</w:t>
      </w:r>
    </w:p>
    <w:p w14:paraId="29FA05E8" w14:textId="77777777" w:rsidR="00E72D9B" w:rsidRDefault="00E72D9B" w:rsidP="00150270">
      <w:pPr>
        <w:pStyle w:val="Akapitzlist"/>
        <w:numPr>
          <w:ilvl w:val="0"/>
          <w:numId w:val="6"/>
        </w:numPr>
      </w:pPr>
      <w:r>
        <w:t>nie będziesz mógł wnieść go ponownie,</w:t>
      </w:r>
    </w:p>
    <w:p w14:paraId="77C16C6B" w14:textId="77777777" w:rsidR="00E72D9B" w:rsidRDefault="00E72D9B" w:rsidP="00150270">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7"/>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5" w:name="_Toc114570853"/>
      <w:bookmarkStart w:id="96" w:name="_Toc181002443"/>
      <w:r w:rsidRPr="006F78E1">
        <w:lastRenderedPageBreak/>
        <w:t xml:space="preserve">Umowa </w:t>
      </w:r>
      <w:r>
        <w:t xml:space="preserve">o </w:t>
      </w:r>
      <w:r w:rsidRPr="006F78E1">
        <w:t>dofinansowanie</w:t>
      </w:r>
      <w:r>
        <w:t xml:space="preserve"> projektu</w:t>
      </w:r>
      <w:bookmarkEnd w:id="95"/>
      <w:r w:rsidR="00EA5562">
        <w:rPr>
          <w:rStyle w:val="Odwoanieprzypisudolnego"/>
        </w:rPr>
        <w:footnoteReference w:id="8"/>
      </w:r>
      <w:bookmarkEnd w:id="96"/>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7" w:name="_Toc181002444"/>
      <w:bookmarkStart w:id="98" w:name="_Toc114570859"/>
      <w:r>
        <w:t>Komunikacja z ION</w:t>
      </w:r>
      <w:bookmarkEnd w:id="97"/>
    </w:p>
    <w:p w14:paraId="7231002D" w14:textId="77777777" w:rsidR="2E85F236" w:rsidRDefault="206FD745" w:rsidP="000463A9">
      <w:pPr>
        <w:pStyle w:val="Nagwek2"/>
        <w:numPr>
          <w:ilvl w:val="1"/>
          <w:numId w:val="17"/>
        </w:numPr>
        <w:spacing w:after="240"/>
        <w:ind w:left="646"/>
      </w:pPr>
      <w:r w:rsidRPr="009903EE">
        <w:t xml:space="preserve"> </w:t>
      </w:r>
      <w:bookmarkStart w:id="99" w:name="_Toc181002445"/>
      <w:r w:rsidRPr="009903EE">
        <w:t>Dane teleadresowe do kontaktu</w:t>
      </w:r>
      <w:bookmarkEnd w:id="99"/>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150270">
      <w:pPr>
        <w:pStyle w:val="Akapitzlist"/>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150270">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1A78502F" w:rsidR="00406AC6" w:rsidRDefault="00406AC6" w:rsidP="00DA3839">
      <w:pPr>
        <w:spacing w:after="240"/>
        <w:ind w:firstLine="709"/>
        <w:rPr>
          <w:rFonts w:cs="Arial"/>
          <w:highlight w:val="yellow"/>
        </w:rPr>
      </w:pPr>
      <w:r w:rsidRPr="1FEA527C">
        <w:rPr>
          <w:rFonts w:cs="Arial"/>
        </w:rPr>
        <w:t>Telefon w celu ustalenia spotkania: +48 32  </w:t>
      </w:r>
      <w:r w:rsidR="000209FA">
        <w:rPr>
          <w:rFonts w:cs="Arial"/>
        </w:rPr>
        <w:t>77 40</w:t>
      </w:r>
      <w:r w:rsidR="008E56BA">
        <w:rPr>
          <w:rFonts w:cs="Arial"/>
        </w:rPr>
        <w:t> </w:t>
      </w:r>
      <w:r w:rsidR="000209FA">
        <w:rPr>
          <w:rFonts w:cs="Arial"/>
        </w:rPr>
        <w:t>232</w:t>
      </w:r>
      <w:r w:rsidR="008E56BA">
        <w:rPr>
          <w:rFonts w:cs="Arial"/>
        </w:rPr>
        <w:t xml:space="preserve"> i </w:t>
      </w:r>
      <w:r w:rsidR="008E56BA" w:rsidRPr="1FEA527C">
        <w:rPr>
          <w:rFonts w:cs="Arial"/>
        </w:rPr>
        <w:t>+48 32  </w:t>
      </w:r>
      <w:r w:rsidR="008E56BA">
        <w:t>77 44 636</w:t>
      </w:r>
    </w:p>
    <w:p w14:paraId="26F2785E" w14:textId="77777777" w:rsidR="5BC84BA1" w:rsidRPr="0002525A" w:rsidRDefault="5BC84BA1" w:rsidP="00150270">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F0079D4" w14:textId="65D89276" w:rsidR="4176314C" w:rsidRDefault="00D5134A" w:rsidP="00DA3839">
      <w:pPr>
        <w:spacing w:after="0"/>
        <w:ind w:firstLine="709"/>
        <w:rPr>
          <w:rFonts w:cs="Arial"/>
        </w:rPr>
      </w:pPr>
      <w:r w:rsidRPr="00D5134A">
        <w:rPr>
          <w:rFonts w:cs="Arial"/>
        </w:rPr>
        <w:t xml:space="preserve">transport_fr@slaskie.pl </w:t>
      </w:r>
      <w:r w:rsidR="4176314C" w:rsidRPr="1FEA527C">
        <w:rPr>
          <w:rFonts w:cs="Arial"/>
        </w:rPr>
        <w:t xml:space="preserve">(+48 32 </w:t>
      </w:r>
      <w:r w:rsidR="000209FA">
        <w:rPr>
          <w:rFonts w:cs="Arial"/>
        </w:rPr>
        <w:t xml:space="preserve">77 40 232 i </w:t>
      </w:r>
      <w:r w:rsidR="00220B65" w:rsidRPr="00220B65">
        <w:rPr>
          <w:rFonts w:cs="Arial"/>
        </w:rPr>
        <w:t>+48 32  77 44 636</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3AB6EC2E" w:rsidR="1F36B7B9" w:rsidRPr="0048181B" w:rsidRDefault="1F36B7B9" w:rsidP="00CC1685">
      <w:pPr>
        <w:rPr>
          <w:rFonts w:eastAsia="Arial" w:cs="Arial"/>
          <w:szCs w:val="24"/>
        </w:rPr>
      </w:pPr>
      <w:r w:rsidRPr="0048181B">
        <w:rPr>
          <w:rFonts w:eastAsia="Arial" w:cs="Arial"/>
          <w:color w:val="000000" w:themeColor="text1"/>
          <w:szCs w:val="24"/>
        </w:rPr>
        <w:t>ION</w:t>
      </w:r>
      <w:r w:rsidR="00F34C73">
        <w:rPr>
          <w:rFonts w:eastAsia="Arial" w:cs="Arial"/>
          <w:color w:val="000000" w:themeColor="text1"/>
          <w:szCs w:val="24"/>
        </w:rPr>
        <w:t xml:space="preserve"> w ciągu</w:t>
      </w:r>
      <w:r w:rsidRPr="0048181B">
        <w:rPr>
          <w:rFonts w:eastAsia="Arial" w:cs="Arial"/>
          <w:color w:val="000000" w:themeColor="text1"/>
          <w:szCs w:val="24"/>
        </w:rPr>
        <w:t xml:space="preserve"> 7 dni </w:t>
      </w:r>
      <w:r w:rsidR="00F34C73">
        <w:rPr>
          <w:rFonts w:eastAsia="Arial" w:cs="Arial"/>
          <w:color w:val="000000" w:themeColor="text1"/>
          <w:szCs w:val="24"/>
        </w:rPr>
        <w:t>powinna</w:t>
      </w:r>
      <w:r w:rsidRPr="0048181B">
        <w:rPr>
          <w:rFonts w:eastAsia="Arial" w:cs="Arial"/>
          <w:color w:val="000000" w:themeColor="text1"/>
          <w:szCs w:val="24"/>
        </w:rPr>
        <w:t xml:space="preserve"> udziel</w:t>
      </w:r>
      <w:r w:rsidR="00F34C73">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00" w:name="_Toc181002446"/>
      <w:r>
        <w:t>Komunikacja dotycząca procesu oceny wniosku</w:t>
      </w:r>
      <w:bookmarkEnd w:id="100"/>
    </w:p>
    <w:p w14:paraId="7415BB27" w14:textId="7893589E" w:rsidR="6F89FA0E" w:rsidRDefault="5E82C8EC" w:rsidP="00CC1685">
      <w:pPr>
        <w:spacing w:after="240"/>
      </w:pPr>
      <w:r>
        <w:t xml:space="preserve">Wezwania do czynności wymaganych na etapie oceny WOD </w:t>
      </w:r>
      <w:r w:rsidR="151216F0">
        <w:t xml:space="preserve">znajdziesz w </w:t>
      </w:r>
      <w:r>
        <w:t xml:space="preserve">LSI 2021. </w:t>
      </w:r>
      <w:r w:rsidR="00F34C73">
        <w:t xml:space="preserve">W dniu </w:t>
      </w:r>
      <w:r>
        <w:t>zamieszcz</w:t>
      </w:r>
      <w:r w:rsidR="00F34C73">
        <w:t>enia</w:t>
      </w:r>
      <w:r>
        <w:t xml:space="preserv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F34C73" w:rsidRPr="00F34C73">
        <w:t xml:space="preserve"> oraz zwróć uwagę na termin na wykonanie czynności. Możesz sprawdzać zawartość LSI 2021 niezależnie od komunikatu mailowego</w:t>
      </w:r>
      <w:r w:rsidR="00F34C73">
        <w:t>.</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lastRenderedPageBreak/>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150270">
      <w:pPr>
        <w:pStyle w:val="Akapitzlist"/>
        <w:numPr>
          <w:ilvl w:val="0"/>
          <w:numId w:val="1"/>
        </w:numPr>
      </w:pPr>
      <w:r>
        <w:t>nieodebrania pisma</w:t>
      </w:r>
    </w:p>
    <w:p w14:paraId="5A44B0CA" w14:textId="77777777" w:rsidR="37C1A449" w:rsidRDefault="37C1A449" w:rsidP="00150270">
      <w:pPr>
        <w:pStyle w:val="Akapitzlist"/>
        <w:numPr>
          <w:ilvl w:val="0"/>
          <w:numId w:val="1"/>
        </w:numPr>
      </w:pPr>
      <w:r>
        <w:t>nieterminowego odebrania pisma albo</w:t>
      </w:r>
    </w:p>
    <w:p w14:paraId="183F1D63" w14:textId="77777777" w:rsidR="1FEA527C" w:rsidRDefault="37C1A449" w:rsidP="00150270">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1" w:name="_Toc181002447"/>
      <w:r>
        <w:t>Udzielanie informacji przez wnioskodawcę podmiotom zewnętrznym</w:t>
      </w:r>
      <w:bookmarkEnd w:id="101"/>
    </w:p>
    <w:p w14:paraId="0B4EABFA" w14:textId="2A7A3BF8"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8"/>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2" w:name="_Toc181002448"/>
      <w:r>
        <w:lastRenderedPageBreak/>
        <w:t>Przetwarzanie danych osobowych</w:t>
      </w:r>
      <w:bookmarkEnd w:id="102"/>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150270">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150270">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041BAF3A"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3" w:name="_Toc181002449"/>
      <w:r w:rsidR="2E85F236">
        <w:t>Podstawy prawne</w:t>
      </w:r>
      <w:bookmarkEnd w:id="103"/>
    </w:p>
    <w:p w14:paraId="42BB6CE9" w14:textId="77777777" w:rsidR="009E2B79" w:rsidRDefault="00E72D9B" w:rsidP="00150270">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150270">
      <w:pPr>
        <w:pStyle w:val="Akapitzlist"/>
        <w:numPr>
          <w:ilvl w:val="0"/>
          <w:numId w:val="13"/>
        </w:numPr>
      </w:pPr>
      <w:bookmarkStart w:id="104"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4"/>
    <w:p w14:paraId="149249DC" w14:textId="3E966A93" w:rsidR="74C5B3D0" w:rsidRDefault="0EFB1E87" w:rsidP="00150270">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5" w:name="_Hlk132364908"/>
      <w:r w:rsidR="073580B1" w:rsidRPr="006D5F67">
        <w:t xml:space="preserve">(Dz. Urz. UE L 231 z 30.06.2021, str. 1, z </w:t>
      </w:r>
      <w:proofErr w:type="spellStart"/>
      <w:r w:rsidR="073580B1" w:rsidRPr="006D5F67">
        <w:t>późn</w:t>
      </w:r>
      <w:proofErr w:type="spellEnd"/>
      <w:r w:rsidR="073580B1" w:rsidRPr="006D5F67">
        <w:t>. zm.)</w:t>
      </w:r>
      <w:bookmarkEnd w:id="105"/>
    </w:p>
    <w:p w14:paraId="2B835DB3" w14:textId="557E0C9F" w:rsidR="00EE06A9" w:rsidRPr="00C204CB" w:rsidRDefault="00EE06A9" w:rsidP="00150270">
      <w:pPr>
        <w:pStyle w:val="Akapitzlist"/>
        <w:numPr>
          <w:ilvl w:val="0"/>
          <w:numId w:val="13"/>
        </w:numPr>
      </w:pPr>
      <w:r w:rsidRPr="00C204CB">
        <w:t>Rozporządzenie Parlamentu Europejskiego i Rady (UE) 2024/3236 z dnia 19 grudnia 2024 r. dotyczące zmiany rozporządzenia (UE) 2021/1057 i (UE) 2021/1058 w odniesieniu do regionalnego wsparcia na rzecz odbudowy w sytuacjach nadzwyczajnych (RESTORE)</w:t>
      </w:r>
    </w:p>
    <w:p w14:paraId="4B284334" w14:textId="11491920" w:rsidR="00E72D9B" w:rsidRPr="006D5F67" w:rsidRDefault="08ECACF4" w:rsidP="00150270">
      <w:pPr>
        <w:pStyle w:val="Akapitzlist"/>
        <w:numPr>
          <w:ilvl w:val="0"/>
          <w:numId w:val="13"/>
        </w:numPr>
      </w:pPr>
      <w:r>
        <w:t xml:space="preserve">Ustawa z dnia 28 kwietnia 2022 r. o zasadach realizacji zadań finansowanych ze środków europejskich w perspektywie finansowej 2021–2027 </w:t>
      </w:r>
      <w:r w:rsidR="6569F26B">
        <w:t>(</w:t>
      </w:r>
      <w:r w:rsidR="001F3E67" w:rsidRPr="001F3E67">
        <w:t>Dz.U.2025 poz.1733</w:t>
      </w:r>
      <w:r w:rsidR="00224289">
        <w:t xml:space="preserve"> z </w:t>
      </w:r>
      <w:proofErr w:type="spellStart"/>
      <w:r w:rsidR="00224289">
        <w:t>późn</w:t>
      </w:r>
      <w:proofErr w:type="spellEnd"/>
      <w:r w:rsidR="00224289">
        <w:t>. zm.</w:t>
      </w:r>
      <w:r w:rsidR="6569F26B">
        <w:t>).</w:t>
      </w:r>
    </w:p>
    <w:p w14:paraId="62A70A44" w14:textId="6B949BE0" w:rsidR="00E72D9B" w:rsidRPr="006D5F67" w:rsidRDefault="00E72D9B" w:rsidP="00150270">
      <w:pPr>
        <w:pStyle w:val="Akapitzlist"/>
        <w:numPr>
          <w:ilvl w:val="0"/>
          <w:numId w:val="13"/>
        </w:numPr>
      </w:pPr>
      <w:r>
        <w:t>Ustawa z dnia 14 czerwca 1960 r. Kodeks postępowania administracyjnego</w:t>
      </w:r>
      <w:r>
        <w:br/>
      </w:r>
      <w:r w:rsidR="00C9541A">
        <w:t xml:space="preserve">(t. j. </w:t>
      </w:r>
      <w:r w:rsidR="00D3532F" w:rsidRPr="00D3532F">
        <w:t>Dz.U.2025 poz. 1691</w:t>
      </w:r>
      <w:r w:rsidR="00C9541A">
        <w:t>).</w:t>
      </w:r>
    </w:p>
    <w:p w14:paraId="3D41AD84" w14:textId="06296A8D" w:rsidR="00C9541A" w:rsidRDefault="00C9541A" w:rsidP="00150270">
      <w:pPr>
        <w:pStyle w:val="Akapitzlist"/>
        <w:numPr>
          <w:ilvl w:val="0"/>
          <w:numId w:val="13"/>
        </w:numPr>
      </w:pPr>
      <w:r>
        <w:t xml:space="preserve">Ustawa z dnia 27 sierpnia 2009 r. o finansach publicznych </w:t>
      </w:r>
      <w:r w:rsidR="00905172">
        <w:t xml:space="preserve">(t j. </w:t>
      </w:r>
      <w:r w:rsidR="00D3532F" w:rsidRPr="227DCF58">
        <w:t>Dz.U. 2025 poz. 1483 z późn.zm.</w:t>
      </w:r>
      <w:r w:rsidR="00905172">
        <w:t>)</w:t>
      </w:r>
      <w:r>
        <w:t>.</w:t>
      </w:r>
    </w:p>
    <w:p w14:paraId="3CB344F4" w14:textId="0E967C0B" w:rsidR="00C9541A" w:rsidRDefault="00C9541A" w:rsidP="00150270">
      <w:pPr>
        <w:pStyle w:val="Akapitzlist"/>
        <w:numPr>
          <w:ilvl w:val="0"/>
          <w:numId w:val="13"/>
        </w:numPr>
      </w:pPr>
      <w:r w:rsidRPr="006F56EB">
        <w:t>Ustawa z dnia 11 września 2019 r. Prawo zamówień publicznych (</w:t>
      </w:r>
      <w:proofErr w:type="spellStart"/>
      <w:r w:rsidRPr="006F56EB">
        <w:t>t.j</w:t>
      </w:r>
      <w:proofErr w:type="spellEnd"/>
      <w:r w:rsidRPr="006F56EB">
        <w:t>. Dz. U. z 202</w:t>
      </w:r>
      <w:r w:rsidR="00DD7E4A">
        <w:t>4</w:t>
      </w:r>
      <w:r w:rsidRPr="006F56EB">
        <w:t xml:space="preserve"> r., poz. </w:t>
      </w:r>
      <w:r w:rsidR="009D3C07">
        <w:t>1</w:t>
      </w:r>
      <w:r w:rsidR="00DD7E4A">
        <w:t>320</w:t>
      </w:r>
      <w:r w:rsidR="008A29F8">
        <w:t xml:space="preserve"> z </w:t>
      </w:r>
      <w:proofErr w:type="spellStart"/>
      <w:r w:rsidR="008A29F8">
        <w:t>późn</w:t>
      </w:r>
      <w:proofErr w:type="spellEnd"/>
      <w:r w:rsidR="008A29F8">
        <w:t>. zm.</w:t>
      </w:r>
      <w:r w:rsidRPr="006F56EB">
        <w:t>).</w:t>
      </w:r>
    </w:p>
    <w:p w14:paraId="4469090D" w14:textId="00BCDBD1" w:rsidR="003337A3" w:rsidRDefault="003337A3" w:rsidP="00150270">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2A7731">
        <w:t>5</w:t>
      </w:r>
      <w:r w:rsidRPr="0CECDBCC">
        <w:t xml:space="preserve"> r. poz. 1</w:t>
      </w:r>
      <w:r w:rsidR="005C0950">
        <w:t>0</w:t>
      </w:r>
      <w:r w:rsidR="002A7731">
        <w:t>71</w:t>
      </w:r>
      <w:r w:rsidR="005136D1">
        <w:t xml:space="preserve"> z </w:t>
      </w:r>
      <w:proofErr w:type="spellStart"/>
      <w:r w:rsidR="005136D1">
        <w:t>późn</w:t>
      </w:r>
      <w:proofErr w:type="spellEnd"/>
      <w:r w:rsidR="005136D1">
        <w:t>. zm.</w:t>
      </w:r>
      <w:r w:rsidRPr="0CECDBCC">
        <w:t>)</w:t>
      </w:r>
    </w:p>
    <w:p w14:paraId="1E02A0AF" w14:textId="69CE3A2A" w:rsidR="002668DA" w:rsidRPr="006F56EB" w:rsidRDefault="002668DA" w:rsidP="00150270">
      <w:pPr>
        <w:pStyle w:val="Akapitzlist"/>
        <w:numPr>
          <w:ilvl w:val="0"/>
          <w:numId w:val="13"/>
        </w:numPr>
      </w:pPr>
      <w:r>
        <w:lastRenderedPageBreak/>
        <w:t>Ustawa z dnia 18 listopada 2020 r. o doręczeniach elektronicznych (</w:t>
      </w:r>
      <w:proofErr w:type="spellStart"/>
      <w:r>
        <w:t>t.j</w:t>
      </w:r>
      <w:proofErr w:type="spellEnd"/>
      <w:r>
        <w:t xml:space="preserve">. </w:t>
      </w:r>
      <w:r w:rsidR="008B0603" w:rsidRPr="008B0603">
        <w:t>Dz.U.2026 poz. 3</w:t>
      </w:r>
      <w:r>
        <w:t>)</w:t>
      </w:r>
    </w:p>
    <w:p w14:paraId="0C8D0B59" w14:textId="16720047" w:rsidR="09A3A486" w:rsidRPr="006D5F67" w:rsidRDefault="09A3A486" w:rsidP="00150270">
      <w:pPr>
        <w:pStyle w:val="Akapitzlist"/>
        <w:numPr>
          <w:ilvl w:val="0"/>
          <w:numId w:val="13"/>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00B7749A">
        <w:t>t.j</w:t>
      </w:r>
      <w:proofErr w:type="spellEnd"/>
      <w:r w:rsidR="00B7749A">
        <w:t xml:space="preserve">. </w:t>
      </w:r>
      <w:r>
        <w:t>Dz.U.</w:t>
      </w:r>
      <w:r w:rsidR="00B7749A">
        <w:t xml:space="preserve"> </w:t>
      </w:r>
      <w:r>
        <w:t>z 202</w:t>
      </w:r>
      <w:r w:rsidR="00B054C9">
        <w:t>5</w:t>
      </w:r>
      <w:r>
        <w:t xml:space="preserve"> r. poz.</w:t>
      </w:r>
      <w:r w:rsidR="003D5D2B">
        <w:t xml:space="preserve"> 5</w:t>
      </w:r>
      <w:r w:rsidR="00B054C9">
        <w:t>14</w:t>
      </w:r>
      <w:r>
        <w:t>)</w:t>
      </w:r>
    </w:p>
    <w:p w14:paraId="002A5204" w14:textId="15CBA4BB" w:rsidR="0CECDBCC" w:rsidRDefault="09A3A486" w:rsidP="00150270">
      <w:pPr>
        <w:pStyle w:val="Akapitzlist"/>
        <w:numPr>
          <w:ilvl w:val="0"/>
          <w:numId w:val="13"/>
        </w:numPr>
      </w:pPr>
      <w:r w:rsidRPr="0CECDBCC">
        <w:t xml:space="preserve">Rozporządzenie Ministra </w:t>
      </w:r>
      <w:r w:rsidR="00F47E0F" w:rsidRPr="00F47E0F">
        <w:t>Funduszy i Polityki Regionalnej</w:t>
      </w:r>
      <w:r w:rsidRPr="0CECDBCC">
        <w:t xml:space="preserve"> z 21 września 2022 r. w sprawie zaliczek w ramach programów finansowanych z udziałem środków europejskich (Dz. U. z 2022 r. poz. 2055).</w:t>
      </w:r>
    </w:p>
    <w:p w14:paraId="0FD5001B" w14:textId="67EC2A71" w:rsidR="00164527" w:rsidRPr="00C204CB" w:rsidRDefault="001F3C0E" w:rsidP="00C204CB">
      <w:pPr>
        <w:pStyle w:val="Akapitzlist"/>
        <w:numPr>
          <w:ilvl w:val="0"/>
          <w:numId w:val="13"/>
        </w:numPr>
      </w:pPr>
      <w:r>
        <w:t>Rozporządzenia Rady Ministrów z dnia 16 września 2024 r. w sprawie wprowadzenia stanu klęski żywiołowej na obszarze części województwa dolnośląskiego, opolskiego oraz śląskiego (Dz.U. 2024 poz.13</w:t>
      </w:r>
      <w:r w:rsidR="008B0603">
        <w:t>9</w:t>
      </w:r>
      <w:r>
        <w:t>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150270">
      <w:pPr>
        <w:pStyle w:val="Akapitzlist"/>
        <w:numPr>
          <w:ilvl w:val="0"/>
          <w:numId w:val="13"/>
        </w:numPr>
      </w:pPr>
      <w:bookmarkStart w:id="106"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6"/>
    <w:p w14:paraId="1B935479" w14:textId="02DB36FD" w:rsidR="00E72D9B" w:rsidRPr="00C83923" w:rsidRDefault="430A51FC" w:rsidP="00150270">
      <w:pPr>
        <w:pStyle w:val="Akapitzlist"/>
        <w:numPr>
          <w:ilvl w:val="0"/>
          <w:numId w:val="13"/>
        </w:numPr>
      </w:pPr>
      <w:r w:rsidRPr="0CECDBCC">
        <w:t xml:space="preserve">Program Fundusze Europejskie dla Śląskiego 2021-2027 (FE SL 2021-2027) uchwalony przez Zarząd Województwa Śląskiego Uchwałą nr </w:t>
      </w:r>
      <w:r w:rsidR="0098024C">
        <w:t>1319/88/VII/2025</w:t>
      </w:r>
      <w:r w:rsidRPr="0CECDBCC">
        <w:t xml:space="preserve"> z</w:t>
      </w:r>
      <w:r w:rsidR="00EB447C">
        <w:t xml:space="preserve"> </w:t>
      </w:r>
      <w:r w:rsidRPr="0CECDBCC">
        <w:t xml:space="preserve">dnia </w:t>
      </w:r>
      <w:r w:rsidR="0098024C">
        <w:t>11</w:t>
      </w:r>
      <w:r w:rsidR="006E9102" w:rsidRPr="0CECDBCC">
        <w:t xml:space="preserve"> </w:t>
      </w:r>
      <w:r w:rsidR="0098024C">
        <w:t>czerwca</w:t>
      </w:r>
      <w:r w:rsidR="006E9102" w:rsidRPr="0CECDBCC">
        <w:t xml:space="preserve"> 202</w:t>
      </w:r>
      <w:r w:rsidR="0098024C">
        <w:t>5</w:t>
      </w:r>
      <w:r w:rsidR="006E9102" w:rsidRPr="0CECDBCC">
        <w:t xml:space="preserve"> r. </w:t>
      </w:r>
      <w:r w:rsidRPr="0CECDBCC">
        <w:t xml:space="preserve">i zatwierdzony decyzją Komisji Europejskiej z dnia </w:t>
      </w:r>
      <w:r w:rsidR="0098024C">
        <w:t>28</w:t>
      </w:r>
      <w:r w:rsidR="05F0BEE2" w:rsidRPr="0CECDBCC">
        <w:t xml:space="preserve"> </w:t>
      </w:r>
      <w:r w:rsidR="0098024C">
        <w:t>maja</w:t>
      </w:r>
      <w:r w:rsidR="05F0BEE2" w:rsidRPr="0CECDBCC">
        <w:t xml:space="preserve"> 202</w:t>
      </w:r>
      <w:r w:rsidR="0098024C">
        <w:t xml:space="preserve">5 </w:t>
      </w:r>
      <w:r w:rsidR="05F0BEE2" w:rsidRPr="0CECDBCC">
        <w:t>r.</w:t>
      </w:r>
      <w:r w:rsidRPr="0CECDBCC">
        <w:t xml:space="preserve">nr </w:t>
      </w:r>
      <w:r w:rsidR="007463F9" w:rsidRPr="0CECDBCC">
        <w:t>C(202</w:t>
      </w:r>
      <w:r w:rsidR="0098024C">
        <w:t>5</w:t>
      </w:r>
      <w:r w:rsidR="007463F9" w:rsidRPr="0CECDBCC">
        <w:t>)</w:t>
      </w:r>
      <w:r w:rsidR="0098024C">
        <w:t xml:space="preserve"> 3544</w:t>
      </w:r>
      <w:r w:rsidR="1A4AA285" w:rsidRPr="0CECDBCC">
        <w:t>.</w:t>
      </w:r>
    </w:p>
    <w:p w14:paraId="7E1C59BB" w14:textId="7FEC635A" w:rsidR="00E72D9B" w:rsidRPr="00C83923" w:rsidRDefault="3AC2AD8B" w:rsidP="00150270">
      <w:pPr>
        <w:pStyle w:val="Akapitzlist"/>
        <w:numPr>
          <w:ilvl w:val="0"/>
          <w:numId w:val="13"/>
        </w:numPr>
      </w:pPr>
      <w:r w:rsidRPr="45BA4320">
        <w:t xml:space="preserve">Szczegółowy Opis Priorytetów dla FE SL 2021-2027(SZOP FE SL) uchwalony przez Zarząd Województwa Śląskiego Uchwałą nr </w:t>
      </w:r>
      <w:r w:rsidR="00305F21" w:rsidRPr="00305F21">
        <w:t>169/144/VII/2026</w:t>
      </w:r>
      <w:r w:rsidR="00305F21">
        <w:t xml:space="preserve"> </w:t>
      </w:r>
      <w:r w:rsidRPr="45BA4320">
        <w:t xml:space="preserve">z dnia </w:t>
      </w:r>
      <w:r w:rsidR="00305F21">
        <w:t>4 lutego</w:t>
      </w:r>
      <w:r w:rsidR="00DB2030" w:rsidRPr="00DB2030">
        <w:t xml:space="preserve"> 202</w:t>
      </w:r>
      <w:r w:rsidR="00305F21">
        <w:t>6</w:t>
      </w:r>
      <w:r w:rsidR="00DB2030">
        <w:t xml:space="preserve"> </w:t>
      </w:r>
      <w:r w:rsidR="00DB2030" w:rsidRPr="00DB2030">
        <w:t>roku</w:t>
      </w:r>
      <w:r w:rsidR="00A57229">
        <w:t xml:space="preserve"> (wersja </w:t>
      </w:r>
      <w:r w:rsidR="00DB2030">
        <w:t>2</w:t>
      </w:r>
      <w:r w:rsidR="00305F21">
        <w:t>1</w:t>
      </w:r>
      <w:r w:rsidR="00A57229">
        <w:t>)</w:t>
      </w:r>
    </w:p>
    <w:p w14:paraId="20AB487B" w14:textId="75CD3D0E" w:rsidR="00E72D9B" w:rsidRDefault="00E72D9B" w:rsidP="00150270">
      <w:pPr>
        <w:pStyle w:val="Akapitzlist"/>
        <w:numPr>
          <w:ilvl w:val="0"/>
          <w:numId w:val="13"/>
        </w:numPr>
      </w:pPr>
      <w:r w:rsidRPr="00C83923">
        <w:t xml:space="preserve">Kryteria wyboru projektów przyjęte uchwałą KM FE SL nr </w:t>
      </w:r>
      <w:r w:rsidR="00DB2030">
        <w:t>207 z dn. 2 grudnia 2025 r.</w:t>
      </w:r>
    </w:p>
    <w:p w14:paraId="6A4DB351" w14:textId="68C5C914" w:rsidR="00DF1FA2" w:rsidRPr="00DF1FA2" w:rsidRDefault="00DF1FA2" w:rsidP="00150270">
      <w:pPr>
        <w:pStyle w:val="Akapitzlist"/>
        <w:numPr>
          <w:ilvl w:val="0"/>
          <w:numId w:val="13"/>
        </w:numPr>
      </w:pPr>
      <w:r w:rsidRPr="00DF1FA2">
        <w:t>Wytyczne dotyczące wyboru projektów na lata 2021-2027, zatwierdzone</w:t>
      </w:r>
      <w:r w:rsidR="0059376D">
        <w:t xml:space="preserve"> </w:t>
      </w:r>
      <w:bookmarkStart w:id="107" w:name="_Hlk205973292"/>
      <w:r w:rsidR="000E658D">
        <w:t>3</w:t>
      </w:r>
      <w:r w:rsidRPr="00DF1FA2">
        <w:t xml:space="preserve">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07"/>
      <w:r w:rsidRPr="00DF1FA2">
        <w:t>.</w:t>
      </w:r>
    </w:p>
    <w:p w14:paraId="0FEBF0CD" w14:textId="17B71D6B" w:rsidR="00DF1FA2" w:rsidRPr="00DF1FA2" w:rsidRDefault="00DF1FA2" w:rsidP="00150270">
      <w:pPr>
        <w:pStyle w:val="Akapitzlist"/>
        <w:numPr>
          <w:ilvl w:val="0"/>
          <w:numId w:val="13"/>
        </w:numPr>
      </w:pPr>
      <w:r w:rsidRPr="00DF1FA2">
        <w:t xml:space="preserve">Wytyczne dotyczące monitorowania postępu rzeczowego realizacji programów na lata 2021-2027, zatwierdzone </w:t>
      </w:r>
      <w:r w:rsidR="00FC65BB">
        <w:t>2</w:t>
      </w:r>
      <w:r w:rsidRPr="00DF1FA2">
        <w:t xml:space="preserve">2 </w:t>
      </w:r>
      <w:r w:rsidR="00FC65BB">
        <w:t>września</w:t>
      </w:r>
      <w:r w:rsidRPr="00DF1FA2">
        <w:t xml:space="preserve"> 202</w:t>
      </w:r>
      <w:r w:rsidR="00FC65BB">
        <w:t>5</w:t>
      </w:r>
      <w:r w:rsidRPr="00DF1FA2">
        <w:t xml:space="preserve"> r., obowiązujące od</w:t>
      </w:r>
      <w:r w:rsidR="009E2B79">
        <w:t xml:space="preserve"> </w:t>
      </w:r>
      <w:r w:rsidRPr="00DF1FA2">
        <w:t>2 października 202</w:t>
      </w:r>
      <w:r w:rsidR="00FC65BB">
        <w:t>5</w:t>
      </w:r>
      <w:r w:rsidRPr="00DF1FA2">
        <w:t xml:space="preserve"> r.</w:t>
      </w:r>
    </w:p>
    <w:p w14:paraId="6981A370" w14:textId="4FFFD51F" w:rsidR="00DF1FA2" w:rsidRPr="00465353" w:rsidRDefault="00DF1FA2" w:rsidP="00150270">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150270">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150270">
      <w:pPr>
        <w:pStyle w:val="Akapitzlist"/>
        <w:numPr>
          <w:ilvl w:val="0"/>
          <w:numId w:val="13"/>
        </w:numPr>
      </w:pPr>
      <w:r w:rsidRPr="00D81C34">
        <w:lastRenderedPageBreak/>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786D1A9D" w:rsidR="00074748" w:rsidRPr="009E2B79" w:rsidRDefault="00074748" w:rsidP="00150270">
      <w:pPr>
        <w:pStyle w:val="Akapitzlist"/>
        <w:numPr>
          <w:ilvl w:val="0"/>
          <w:numId w:val="13"/>
        </w:numPr>
      </w:pPr>
      <w:r w:rsidRPr="00074748">
        <w:t xml:space="preserve">Wytyczne dotyczące realizacji projektów z udziałem środków Europejskiego Funduszu Społecznego Plus w regionalnych programach na lata 2021–2027, zatwierdzone </w:t>
      </w:r>
      <w:r w:rsidR="00C10703">
        <w:t>15</w:t>
      </w:r>
      <w:r w:rsidRPr="00074748">
        <w:t xml:space="preserve"> </w:t>
      </w:r>
      <w:r w:rsidR="00C10703">
        <w:t>czerwca</w:t>
      </w:r>
      <w:r w:rsidRPr="00074748">
        <w:t xml:space="preserve"> 202</w:t>
      </w:r>
      <w:r w:rsidR="00C10703">
        <w:t>5</w:t>
      </w:r>
      <w:r w:rsidRPr="00074748">
        <w:t xml:space="preserve"> r., obowiązujące od </w:t>
      </w:r>
      <w:r w:rsidR="00560E12">
        <w:t>30</w:t>
      </w:r>
      <w:r w:rsidRPr="00074748">
        <w:t xml:space="preserve"> </w:t>
      </w:r>
      <w:r w:rsidR="00560E12">
        <w:t>czerwca</w:t>
      </w:r>
      <w:r w:rsidRPr="00074748">
        <w:t xml:space="preserve"> 202</w:t>
      </w:r>
      <w:r w:rsidR="00560E12">
        <w:t>5</w:t>
      </w:r>
      <w:r w:rsidR="00C14481">
        <w:t xml:space="preserve"> r.</w:t>
      </w:r>
    </w:p>
    <w:p w14:paraId="058AC26D" w14:textId="77777777" w:rsidR="007B2B1B" w:rsidRPr="00E74F2C" w:rsidRDefault="007B2B1B" w:rsidP="0092663F">
      <w:bookmarkStart w:id="108" w:name="_Hlk132357986"/>
      <w:r w:rsidRPr="00D81C34">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08"/>
    <w:p w14:paraId="6D8CA1DE" w14:textId="5BDCA13B" w:rsidR="00944032" w:rsidRPr="0092663F" w:rsidRDefault="00004FFC" w:rsidP="00944032">
      <w:pPr>
        <w:rPr>
          <w:rStyle w:val="Wyrnienieintensywne"/>
        </w:rPr>
      </w:pPr>
      <w:r>
        <w:rPr>
          <w:rStyle w:val="Wyrnienieintensywne"/>
          <w:color w:val="2E74B5" w:themeColor="accent1" w:themeShade="BF"/>
        </w:rPr>
        <w:t>Dla</w:t>
      </w:r>
      <w:r w:rsidR="00944032" w:rsidRPr="0092135C">
        <w:rPr>
          <w:rStyle w:val="Wyrnienieintensywne"/>
          <w:color w:val="2E74B5" w:themeColor="accent1" w:themeShade="BF"/>
        </w:rPr>
        <w:t xml:space="preserve"> projekt</w:t>
      </w:r>
      <w:r>
        <w:rPr>
          <w:rStyle w:val="Wyrnienieintensywne"/>
          <w:color w:val="2E74B5" w:themeColor="accent1" w:themeShade="BF"/>
        </w:rPr>
        <w:t>ów</w:t>
      </w:r>
      <w:r w:rsidR="00944032" w:rsidRPr="0092135C">
        <w:rPr>
          <w:rStyle w:val="Wyrnienieintensywne"/>
          <w:color w:val="2E74B5" w:themeColor="accent1" w:themeShade="BF"/>
        </w:rPr>
        <w:t xml:space="preserve"> objęty</w:t>
      </w:r>
      <w:r>
        <w:rPr>
          <w:rStyle w:val="Wyrnienieintensywne"/>
          <w:color w:val="2E74B5" w:themeColor="accent1" w:themeShade="BF"/>
        </w:rPr>
        <w:t>ch</w:t>
      </w:r>
      <w:r w:rsidR="00944032" w:rsidRPr="0092135C">
        <w:rPr>
          <w:rStyle w:val="Wyrnienieintensywne"/>
          <w:color w:val="2E74B5" w:themeColor="accent1" w:themeShade="BF"/>
        </w:rPr>
        <w:t xml:space="preserve"> pomocą de </w:t>
      </w:r>
      <w:proofErr w:type="spellStart"/>
      <w:r w:rsidR="00944032"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6B2741B6" w14:textId="77777777" w:rsidR="000100EB" w:rsidRDefault="00841E2F" w:rsidP="00944032">
      <w:pPr>
        <w:rPr>
          <w:rStyle w:val="Wyrnienieintensywne"/>
          <w:color w:val="000000" w:themeColor="text1"/>
        </w:rPr>
      </w:pPr>
      <w:r w:rsidRPr="000100EB">
        <w:rPr>
          <w:rStyle w:val="Wyrnienieintensywne"/>
          <w:color w:val="000000" w:themeColor="text1"/>
        </w:rPr>
        <w:t>Nie dotyczy</w:t>
      </w:r>
    </w:p>
    <w:p w14:paraId="7A6A2A3D" w14:textId="5FA57FDE" w:rsidR="00944032" w:rsidRDefault="00004FFC" w:rsidP="00944032">
      <w:pPr>
        <w:rPr>
          <w:rStyle w:val="Wyrnienieintensywne"/>
          <w:color w:val="2E74B5" w:themeColor="accent1" w:themeShade="BF"/>
        </w:rPr>
      </w:pPr>
      <w:r>
        <w:rPr>
          <w:rStyle w:val="Wyrnienieintensywne"/>
          <w:color w:val="2E74B5" w:themeColor="accent1" w:themeShade="BF"/>
        </w:rPr>
        <w:t>Dla</w:t>
      </w:r>
      <w:r w:rsidR="4D16D92F" w:rsidRPr="0092135C">
        <w:rPr>
          <w:rStyle w:val="Wyrnienieintensywne"/>
          <w:color w:val="2E74B5" w:themeColor="accent1" w:themeShade="BF"/>
        </w:rPr>
        <w:t xml:space="preserve"> projekt</w:t>
      </w:r>
      <w:r>
        <w:rPr>
          <w:rStyle w:val="Wyrnienieintensywne"/>
          <w:color w:val="2E74B5" w:themeColor="accent1" w:themeShade="BF"/>
        </w:rPr>
        <w:t>ów</w:t>
      </w:r>
      <w:r w:rsidR="4D16D92F" w:rsidRPr="0092135C">
        <w:rPr>
          <w:rStyle w:val="Wyrnienieintensywne"/>
          <w:color w:val="2E74B5" w:themeColor="accent1" w:themeShade="BF"/>
        </w:rPr>
        <w:t xml:space="preserve"> objęty</w:t>
      </w:r>
      <w:r>
        <w:rPr>
          <w:rStyle w:val="Wyrnienieintensywne"/>
          <w:color w:val="2E74B5" w:themeColor="accent1" w:themeShade="BF"/>
        </w:rPr>
        <w:t>ch</w:t>
      </w:r>
      <w:r w:rsidR="4D16D92F" w:rsidRPr="0092135C">
        <w:rPr>
          <w:rStyle w:val="Wyrnienieintensywne"/>
          <w:color w:val="2E74B5" w:themeColor="accent1" w:themeShade="BF"/>
        </w:rPr>
        <w:t xml:space="preserve"> 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6DEC138D" w14:textId="6BE72902" w:rsidR="00DB2030" w:rsidRPr="00DC18BF" w:rsidRDefault="00DB2030" w:rsidP="00944032">
      <w:pPr>
        <w:rPr>
          <w:rStyle w:val="Wyrnienieintensywne"/>
          <w:color w:val="000000" w:themeColor="text1"/>
        </w:rPr>
      </w:pPr>
      <w:r w:rsidRPr="00DC18BF">
        <w:rPr>
          <w:rStyle w:val="Wyrnienieintensywne"/>
          <w:color w:val="000000" w:themeColor="text1"/>
        </w:rPr>
        <w:t>Nie dotyczy</w:t>
      </w:r>
    </w:p>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0463A9">
      <w:pPr>
        <w:pStyle w:val="Nagwek1"/>
        <w:numPr>
          <w:ilvl w:val="0"/>
          <w:numId w:val="17"/>
        </w:numPr>
      </w:pPr>
      <w:bookmarkStart w:id="109" w:name="_Toc114570866"/>
      <w:r>
        <w:t xml:space="preserve"> </w:t>
      </w:r>
      <w:bookmarkStart w:id="110" w:name="_Toc181002450"/>
      <w:r w:rsidR="2E85F236">
        <w:t>Załączniki</w:t>
      </w:r>
      <w:bookmarkEnd w:id="109"/>
      <w:r w:rsidR="008C7201">
        <w:t xml:space="preserve"> do Regulaminu</w:t>
      </w:r>
      <w:bookmarkEnd w:id="110"/>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135A95C5" w:rsidR="00D01526" w:rsidRPr="00DB2030" w:rsidRDefault="00D01526" w:rsidP="00DB2030">
      <w:pPr>
        <w:pStyle w:val="paragraph"/>
        <w:numPr>
          <w:ilvl w:val="0"/>
          <w:numId w:val="30"/>
        </w:numPr>
        <w:spacing w:line="360" w:lineRule="auto"/>
        <w:textAlignment w:val="baseline"/>
        <w:rPr>
          <w:rStyle w:val="normaltextrun"/>
          <w:rFonts w:ascii="Arial" w:hAnsi="Arial" w:cs="Arial"/>
        </w:rPr>
      </w:pPr>
      <w:r w:rsidRPr="00DB2030">
        <w:rPr>
          <w:rStyle w:val="normaltextrun"/>
          <w:rFonts w:ascii="Arial" w:hAnsi="Arial" w:cs="Arial"/>
        </w:rPr>
        <w:t>Wzór umowy o dofinansowanie projektu</w:t>
      </w:r>
      <w:r w:rsidR="00E74F2C" w:rsidRPr="00DB2030">
        <w:rPr>
          <w:rStyle w:val="normaltextrun"/>
          <w:rFonts w:ascii="Arial" w:hAnsi="Arial" w:cs="Arial"/>
        </w:rPr>
        <w:t>;</w:t>
      </w:r>
    </w:p>
    <w:p w14:paraId="39C653B8" w14:textId="1AED3AF0" w:rsidR="003A4462" w:rsidRPr="00811B66" w:rsidRDefault="00D01526" w:rsidP="00681EE0">
      <w:pPr>
        <w:pStyle w:val="paragraph"/>
        <w:numPr>
          <w:ilvl w:val="0"/>
          <w:numId w:val="30"/>
        </w:numPr>
        <w:spacing w:line="360" w:lineRule="auto"/>
        <w:textAlignment w:val="baseline"/>
        <w:sectPr w:rsidR="003A4462" w:rsidRPr="00811B66" w:rsidSect="00A501A3">
          <w:headerReference w:type="default" r:id="rId29"/>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12" w:name="_Załącznik_nr_1"/>
      <w:bookmarkStart w:id="113" w:name="_Zał._nr_2:"/>
      <w:bookmarkEnd w:id="112"/>
      <w:bookmarkEnd w:id="113"/>
      <w:proofErr w:type="spellEnd"/>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83BE41" w16cex:dateUtc="2026-01-07T12:34:00Z"/>
  <w16cex:commentExtensible w16cex:durableId="05811FF7" w16cex:dateUtc="2026-01-07T12:27:00Z"/>
  <w16cex:commentExtensible w16cex:durableId="5796578F" w16cex:dateUtc="2026-01-07T09:30:00Z"/>
  <w16cex:commentExtensible w16cex:durableId="0BB1EFB3" w16cex:dateUtc="2026-01-07T09:43:00Z"/>
  <w16cex:commentExtensible w16cex:durableId="3F55CFAC" w16cex:dateUtc="2026-01-07T09:32:00Z"/>
  <w16cex:commentExtensible w16cex:durableId="38DE5781" w16cex:dateUtc="2026-01-07T09:34:00Z"/>
  <w16cex:commentExtensible w16cex:durableId="0F661684" w16cex:dateUtc="2026-01-07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0F17E" w14:textId="77777777" w:rsidR="00754510" w:rsidRDefault="00754510" w:rsidP="001E70D8">
      <w:pPr>
        <w:spacing w:after="0" w:line="240" w:lineRule="auto"/>
      </w:pPr>
      <w:r>
        <w:separator/>
      </w:r>
    </w:p>
  </w:endnote>
  <w:endnote w:type="continuationSeparator" w:id="0">
    <w:p w14:paraId="12094277" w14:textId="77777777" w:rsidR="00754510" w:rsidRDefault="00754510" w:rsidP="001E70D8">
      <w:pPr>
        <w:spacing w:after="0" w:line="240" w:lineRule="auto"/>
      </w:pPr>
      <w:r>
        <w:continuationSeparator/>
      </w:r>
    </w:p>
  </w:endnote>
  <w:endnote w:type="continuationNotice" w:id="1">
    <w:p w14:paraId="3A9389BF" w14:textId="77777777" w:rsidR="00754510" w:rsidRDefault="00754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DF4E3C" w:rsidRDefault="00DF4E3C"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DF4E3C" w:rsidRDefault="00DF4E3C">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DF4E3C" w:rsidRDefault="00DF4E3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DF4E3C" w:rsidRDefault="00DF4E3C">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DF4E3C" w:rsidRDefault="00DF4E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5494" w14:textId="77777777" w:rsidR="00754510" w:rsidRDefault="00754510" w:rsidP="001E70D8">
      <w:pPr>
        <w:spacing w:after="0" w:line="240" w:lineRule="auto"/>
      </w:pPr>
      <w:r>
        <w:separator/>
      </w:r>
    </w:p>
  </w:footnote>
  <w:footnote w:type="continuationSeparator" w:id="0">
    <w:p w14:paraId="11B9C4EC" w14:textId="77777777" w:rsidR="00754510" w:rsidRDefault="00754510" w:rsidP="001E70D8">
      <w:pPr>
        <w:spacing w:after="0" w:line="240" w:lineRule="auto"/>
      </w:pPr>
      <w:r>
        <w:continuationSeparator/>
      </w:r>
    </w:p>
  </w:footnote>
  <w:footnote w:type="continuationNotice" w:id="1">
    <w:p w14:paraId="6B46B2C9" w14:textId="77777777" w:rsidR="00754510" w:rsidRDefault="00754510">
      <w:pPr>
        <w:spacing w:after="0" w:line="240" w:lineRule="auto"/>
      </w:pPr>
    </w:p>
  </w:footnote>
  <w:footnote w:id="2">
    <w:p w14:paraId="0530E4BE" w14:textId="77777777" w:rsidR="00DF4E3C" w:rsidRPr="00BB6BEB" w:rsidRDefault="00DF4E3C"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9D7BA96" w14:textId="77777777" w:rsidR="00DF4E3C" w:rsidRDefault="00DF4E3C" w:rsidP="00940073">
      <w:pPr>
        <w:pStyle w:val="Tekstprzypisudolnego"/>
      </w:pPr>
      <w:r>
        <w:rPr>
          <w:rStyle w:val="Odwoanieprzypisudolnego"/>
        </w:rPr>
        <w:footnoteRef/>
      </w:r>
      <w:r>
        <w:t xml:space="preserve"> Numeru drogi, na której powstała szkoda.</w:t>
      </w:r>
    </w:p>
  </w:footnote>
  <w:footnote w:id="4">
    <w:p w14:paraId="4DB920B0" w14:textId="77777777" w:rsidR="00DF4E3C" w:rsidRDefault="00DF4E3C" w:rsidP="00440CA8">
      <w:pPr>
        <w:pStyle w:val="Tekstprzypisudolnego"/>
      </w:pPr>
      <w:r>
        <w:rPr>
          <w:rStyle w:val="Odwoanieprzypisudolnego"/>
        </w:rPr>
        <w:footnoteRef/>
      </w:r>
      <w:r>
        <w:t xml:space="preserve"> Standardy określono w zał. nr 2 do </w:t>
      </w:r>
      <w:hyperlink r:id="rId1" w:history="1">
        <w:r w:rsidRPr="00CD6EEE">
          <w:rPr>
            <w:rStyle w:val="Hipercze"/>
          </w:rPr>
          <w:t>Wytycznych dotyczących realizacji zasad równościowych w ramach funduszy unijnych na lata 2021-2027</w:t>
        </w:r>
      </w:hyperlink>
      <w:r>
        <w:rPr>
          <w:rStyle w:val="Hipercze"/>
        </w:rPr>
        <w:t>.</w:t>
      </w:r>
    </w:p>
  </w:footnote>
  <w:footnote w:id="5">
    <w:p w14:paraId="4555F729" w14:textId="72D0BB96" w:rsidR="00DF4E3C" w:rsidRDefault="00DF4E3C">
      <w:pPr>
        <w:pStyle w:val="Tekstprzypisudolnego"/>
      </w:pPr>
      <w:r>
        <w:rPr>
          <w:rStyle w:val="Odwoanieprzypisudolnego"/>
        </w:rPr>
        <w:footnoteRef/>
      </w:r>
      <w:r>
        <w:t xml:space="preserve"> </w:t>
      </w:r>
      <w:r w:rsidRPr="006B2E5A">
        <w:t>Data przyjęcia Rozporządzenia Rady Ministrów z dnia 16 września 2024 r. w sprawie wprowadzenia stanu klęski żywiołowej na obszarze części województwa dolnośląskiego, opolskiego oraz śląskiego (Dz.U. 2024 poz.1365).</w:t>
      </w:r>
    </w:p>
  </w:footnote>
  <w:footnote w:id="6">
    <w:p w14:paraId="64ACB929" w14:textId="1B1A14BA" w:rsidR="00DF4E3C" w:rsidRDefault="00DF4E3C">
      <w:pPr>
        <w:pStyle w:val="Tekstprzypisudolnego"/>
      </w:pPr>
      <w:r>
        <w:rPr>
          <w:rStyle w:val="Odwoanieprzypisudolnego"/>
        </w:rPr>
        <w:footnoteRef/>
      </w:r>
      <w:r>
        <w:t xml:space="preserve"> </w:t>
      </w:r>
      <w:r w:rsidRPr="002D1B7B">
        <w:t xml:space="preserve">W przypadku działania 14.1, dla każdego z pięciu powiatów zostaną przygotowane odrębne listy rankingowe projektów składanych przez jednostki samorządu terytorialnego z terenu danego powiatu, a podział alokacji środków nastąpi na zasadach określonych w pkt 2.1 </w:t>
      </w:r>
      <w:r>
        <w:t>R</w:t>
      </w:r>
      <w:r w:rsidRPr="002D1B7B">
        <w:t>egulaminu.</w:t>
      </w:r>
    </w:p>
  </w:footnote>
  <w:footnote w:id="7">
    <w:p w14:paraId="3FC411A8" w14:textId="1279595C" w:rsidR="00DF4E3C" w:rsidRDefault="00DF4E3C"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8">
    <w:p w14:paraId="5FE6428E" w14:textId="77777777" w:rsidR="00DF4E3C" w:rsidRDefault="00DF4E3C"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DF4E3C" w:rsidRDefault="00DF4E3C" w:rsidP="00811B66">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3C3D57D5" w:rsidR="00DF4E3C" w:rsidRPr="00C2614E" w:rsidRDefault="00DF4E3C" w:rsidP="00A501A3">
    <w:pPr>
      <w:spacing w:after="120"/>
      <w:rPr>
        <w:rFonts w:cs="Arial"/>
        <w:sz w:val="22"/>
      </w:rPr>
    </w:pPr>
  </w:p>
  <w:p w14:paraId="5580F261" w14:textId="501792A6" w:rsidR="00DF4E3C" w:rsidRDefault="00DF4E3C">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DF4E3C" w:rsidRDefault="00DF4E3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DF4E3C" w:rsidRDefault="00DF4E3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DF4E3C" w:rsidRPr="00257C17" w:rsidRDefault="00DF4E3C"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8B4"/>
    <w:multiLevelType w:val="hybridMultilevel"/>
    <w:tmpl w:val="652CA390"/>
    <w:lvl w:ilvl="0" w:tplc="62304F4E">
      <w:start w:val="1"/>
      <w:numFmt w:val="lowerLetter"/>
      <w:lvlText w:val="%1."/>
      <w:lvlJc w:val="left"/>
      <w:pPr>
        <w:ind w:left="1195" w:hanging="360"/>
      </w:pPr>
      <w:rPr>
        <w:rFonts w:ascii="Arial" w:eastAsia="Times New Roman" w:hAnsi="Arial" w:cs="Aria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0E4223BF"/>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2A6E88"/>
    <w:multiLevelType w:val="hybridMultilevel"/>
    <w:tmpl w:val="4A74A94E"/>
    <w:lvl w:ilvl="0" w:tplc="E7A426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F4711"/>
    <w:multiLevelType w:val="hybridMultilevel"/>
    <w:tmpl w:val="B6267090"/>
    <w:lvl w:ilvl="0" w:tplc="7040B0AE">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6422363"/>
    <w:multiLevelType w:val="hybridMultilevel"/>
    <w:tmpl w:val="69E6297E"/>
    <w:lvl w:ilvl="0" w:tplc="E7A426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FA1F9C"/>
    <w:multiLevelType w:val="hybridMultilevel"/>
    <w:tmpl w:val="CB307E72"/>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3EEEAC20">
      <w:start w:val="1"/>
      <w:numFmt w:val="decimal"/>
      <w:lvlText w:val="%4."/>
      <w:lvlJc w:val="left"/>
      <w:pPr>
        <w:ind w:left="2520" w:hanging="360"/>
      </w:pPr>
      <w:rPr>
        <w:rFonts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0244E3"/>
    <w:multiLevelType w:val="hybridMultilevel"/>
    <w:tmpl w:val="CAB871EC"/>
    <w:lvl w:ilvl="0" w:tplc="FAE48CA6">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C1BAB"/>
    <w:multiLevelType w:val="hybridMultilevel"/>
    <w:tmpl w:val="1BFE630E"/>
    <w:lvl w:ilvl="0" w:tplc="63BC90BC">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6"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8"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B5083"/>
    <w:multiLevelType w:val="hybridMultilevel"/>
    <w:tmpl w:val="68B08F54"/>
    <w:lvl w:ilvl="0" w:tplc="308CEF0C">
      <w:start w:val="1"/>
      <w:numFmt w:val="decimal"/>
      <w:lvlText w:val="%1."/>
      <w:lvlJc w:val="left"/>
      <w:pPr>
        <w:ind w:left="2345"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8"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1"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
  </w:num>
  <w:num w:numId="3">
    <w:abstractNumId w:val="35"/>
  </w:num>
  <w:num w:numId="4">
    <w:abstractNumId w:val="34"/>
  </w:num>
  <w:num w:numId="5">
    <w:abstractNumId w:val="38"/>
  </w:num>
  <w:num w:numId="6">
    <w:abstractNumId w:val="18"/>
  </w:num>
  <w:num w:numId="7">
    <w:abstractNumId w:val="22"/>
  </w:num>
  <w:num w:numId="8">
    <w:abstractNumId w:val="26"/>
  </w:num>
  <w:num w:numId="9">
    <w:abstractNumId w:val="13"/>
  </w:num>
  <w:num w:numId="10">
    <w:abstractNumId w:val="32"/>
  </w:num>
  <w:num w:numId="11">
    <w:abstractNumId w:val="16"/>
  </w:num>
  <w:num w:numId="12">
    <w:abstractNumId w:val="3"/>
  </w:num>
  <w:num w:numId="13">
    <w:abstractNumId w:val="21"/>
  </w:num>
  <w:num w:numId="14">
    <w:abstractNumId w:val="19"/>
  </w:num>
  <w:num w:numId="15">
    <w:abstractNumId w:val="30"/>
  </w:num>
  <w:num w:numId="16">
    <w:abstractNumId w:val="15"/>
  </w:num>
  <w:num w:numId="17">
    <w:abstractNumId w:val="17"/>
  </w:num>
  <w:num w:numId="18">
    <w:abstractNumId w:val="24"/>
  </w:num>
  <w:num w:numId="19">
    <w:abstractNumId w:val="14"/>
  </w:num>
  <w:num w:numId="20">
    <w:abstractNumId w:val="27"/>
  </w:num>
  <w:num w:numId="21">
    <w:abstractNumId w:val="33"/>
  </w:num>
  <w:num w:numId="22">
    <w:abstractNumId w:val="25"/>
  </w:num>
  <w:num w:numId="23">
    <w:abstractNumId w:val="10"/>
  </w:num>
  <w:num w:numId="24">
    <w:abstractNumId w:val="37"/>
  </w:num>
  <w:num w:numId="25">
    <w:abstractNumId w:val="9"/>
  </w:num>
  <w:num w:numId="26">
    <w:abstractNumId w:val="7"/>
  </w:num>
  <w:num w:numId="27">
    <w:abstractNumId w:val="20"/>
  </w:num>
  <w:num w:numId="28">
    <w:abstractNumId w:val="29"/>
  </w:num>
  <w:num w:numId="29">
    <w:abstractNumId w:val="8"/>
  </w:num>
  <w:num w:numId="30">
    <w:abstractNumId w:val="31"/>
  </w:num>
  <w:num w:numId="31">
    <w:abstractNumId w:val="39"/>
  </w:num>
  <w:num w:numId="32">
    <w:abstractNumId w:val="28"/>
  </w:num>
  <w:num w:numId="33">
    <w:abstractNumId w:val="28"/>
    <w:lvlOverride w:ilvl="0">
      <w:startOverride w:val="1"/>
    </w:lvlOverride>
  </w:num>
  <w:num w:numId="34">
    <w:abstractNumId w:val="28"/>
    <w:lvlOverride w:ilvl="0">
      <w:startOverride w:val="1"/>
    </w:lvlOverride>
  </w:num>
  <w:num w:numId="35">
    <w:abstractNumId w:val="28"/>
    <w:lvlOverride w:ilvl="0">
      <w:startOverride w:val="1"/>
    </w:lvlOverride>
  </w:num>
  <w:num w:numId="36">
    <w:abstractNumId w:val="28"/>
  </w:num>
  <w:num w:numId="37">
    <w:abstractNumId w:val="4"/>
  </w:num>
  <w:num w:numId="38">
    <w:abstractNumId w:val="6"/>
  </w:num>
  <w:num w:numId="39">
    <w:abstractNumId w:val="11"/>
  </w:num>
  <w:num w:numId="40">
    <w:abstractNumId w:val="2"/>
  </w:num>
  <w:num w:numId="41">
    <w:abstractNumId w:val="0"/>
  </w:num>
  <w:num w:numId="42">
    <w:abstractNumId w:val="8"/>
    <w:lvlOverride w:ilvl="0">
      <w:startOverride w:val="1"/>
    </w:lvlOverride>
  </w:num>
  <w:num w:numId="43">
    <w:abstractNumId w:val="5"/>
  </w:num>
  <w:num w:numId="44">
    <w:abstractNumId w:val="12"/>
  </w:num>
  <w:num w:numId="4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4FFC"/>
    <w:rsid w:val="0000679E"/>
    <w:rsid w:val="00006B72"/>
    <w:rsid w:val="00006EB4"/>
    <w:rsid w:val="00007417"/>
    <w:rsid w:val="000100EB"/>
    <w:rsid w:val="0001059C"/>
    <w:rsid w:val="000107B4"/>
    <w:rsid w:val="000109D8"/>
    <w:rsid w:val="00011F3C"/>
    <w:rsid w:val="00013DD6"/>
    <w:rsid w:val="000207ED"/>
    <w:rsid w:val="000209FA"/>
    <w:rsid w:val="00021D40"/>
    <w:rsid w:val="00021EBC"/>
    <w:rsid w:val="00022653"/>
    <w:rsid w:val="00022AEF"/>
    <w:rsid w:val="00024C0C"/>
    <w:rsid w:val="0002525A"/>
    <w:rsid w:val="00025839"/>
    <w:rsid w:val="00026591"/>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D1B"/>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4815"/>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6E39"/>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20CA"/>
    <w:rsid w:val="000D5216"/>
    <w:rsid w:val="000D6546"/>
    <w:rsid w:val="000D729E"/>
    <w:rsid w:val="000E10F6"/>
    <w:rsid w:val="000E1BA8"/>
    <w:rsid w:val="000E240F"/>
    <w:rsid w:val="000E26A2"/>
    <w:rsid w:val="000E658D"/>
    <w:rsid w:val="000E7186"/>
    <w:rsid w:val="000E785B"/>
    <w:rsid w:val="000E7F9B"/>
    <w:rsid w:val="000F468E"/>
    <w:rsid w:val="000F5959"/>
    <w:rsid w:val="000F6C43"/>
    <w:rsid w:val="000F7C00"/>
    <w:rsid w:val="000F7E96"/>
    <w:rsid w:val="001006DF"/>
    <w:rsid w:val="001022C8"/>
    <w:rsid w:val="001026C8"/>
    <w:rsid w:val="00103B28"/>
    <w:rsid w:val="00104275"/>
    <w:rsid w:val="001056FE"/>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384"/>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0270"/>
    <w:rsid w:val="001510AE"/>
    <w:rsid w:val="001511A1"/>
    <w:rsid w:val="001529B6"/>
    <w:rsid w:val="00153FFE"/>
    <w:rsid w:val="00155685"/>
    <w:rsid w:val="00157458"/>
    <w:rsid w:val="00160040"/>
    <w:rsid w:val="00162E60"/>
    <w:rsid w:val="00163362"/>
    <w:rsid w:val="0016374F"/>
    <w:rsid w:val="001638B9"/>
    <w:rsid w:val="00164527"/>
    <w:rsid w:val="001652B0"/>
    <w:rsid w:val="0016591F"/>
    <w:rsid w:val="00165CDD"/>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395"/>
    <w:rsid w:val="001C2BD9"/>
    <w:rsid w:val="001C2EB9"/>
    <w:rsid w:val="001C3A5C"/>
    <w:rsid w:val="001C552F"/>
    <w:rsid w:val="001C560C"/>
    <w:rsid w:val="001C6602"/>
    <w:rsid w:val="001C6D7F"/>
    <w:rsid w:val="001C7251"/>
    <w:rsid w:val="001D1ECB"/>
    <w:rsid w:val="001D2DC3"/>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3C0E"/>
    <w:rsid w:val="001F3E67"/>
    <w:rsid w:val="001F5A60"/>
    <w:rsid w:val="001F661C"/>
    <w:rsid w:val="001F6E72"/>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0B65"/>
    <w:rsid w:val="0022215B"/>
    <w:rsid w:val="00222BC2"/>
    <w:rsid w:val="0022319A"/>
    <w:rsid w:val="00223D8A"/>
    <w:rsid w:val="00224289"/>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4592C"/>
    <w:rsid w:val="0025148E"/>
    <w:rsid w:val="00252824"/>
    <w:rsid w:val="00252A10"/>
    <w:rsid w:val="00252B07"/>
    <w:rsid w:val="002562CF"/>
    <w:rsid w:val="00256932"/>
    <w:rsid w:val="00257811"/>
    <w:rsid w:val="00257C17"/>
    <w:rsid w:val="0026034A"/>
    <w:rsid w:val="00261997"/>
    <w:rsid w:val="0026411A"/>
    <w:rsid w:val="00264726"/>
    <w:rsid w:val="002658DB"/>
    <w:rsid w:val="002668DA"/>
    <w:rsid w:val="00266D78"/>
    <w:rsid w:val="00270033"/>
    <w:rsid w:val="002704B0"/>
    <w:rsid w:val="00272284"/>
    <w:rsid w:val="00272E93"/>
    <w:rsid w:val="0027590F"/>
    <w:rsid w:val="00275D14"/>
    <w:rsid w:val="00276161"/>
    <w:rsid w:val="00277BD9"/>
    <w:rsid w:val="002801E2"/>
    <w:rsid w:val="00280C47"/>
    <w:rsid w:val="00281618"/>
    <w:rsid w:val="00281DD2"/>
    <w:rsid w:val="00283A2E"/>
    <w:rsid w:val="00283CCD"/>
    <w:rsid w:val="002843E4"/>
    <w:rsid w:val="002850E6"/>
    <w:rsid w:val="00285F0C"/>
    <w:rsid w:val="00295230"/>
    <w:rsid w:val="00295A26"/>
    <w:rsid w:val="00295FD7"/>
    <w:rsid w:val="002966A9"/>
    <w:rsid w:val="00296AB6"/>
    <w:rsid w:val="002A0BFA"/>
    <w:rsid w:val="002A30F2"/>
    <w:rsid w:val="002A4CE8"/>
    <w:rsid w:val="002A5F1C"/>
    <w:rsid w:val="002A6E52"/>
    <w:rsid w:val="002A7731"/>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C6914"/>
    <w:rsid w:val="002D190A"/>
    <w:rsid w:val="002D1B7B"/>
    <w:rsid w:val="002D1BA6"/>
    <w:rsid w:val="002D1EC4"/>
    <w:rsid w:val="002D2AC1"/>
    <w:rsid w:val="002D3A8D"/>
    <w:rsid w:val="002D4C84"/>
    <w:rsid w:val="002D5EDF"/>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5F21"/>
    <w:rsid w:val="00306DA2"/>
    <w:rsid w:val="00306F6A"/>
    <w:rsid w:val="00313371"/>
    <w:rsid w:val="003161E0"/>
    <w:rsid w:val="00317C2F"/>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9F4"/>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2DD"/>
    <w:rsid w:val="003E5898"/>
    <w:rsid w:val="003E5BBF"/>
    <w:rsid w:val="003E5F29"/>
    <w:rsid w:val="003E60C4"/>
    <w:rsid w:val="003E6CE4"/>
    <w:rsid w:val="003F01EC"/>
    <w:rsid w:val="003F0474"/>
    <w:rsid w:val="003F087B"/>
    <w:rsid w:val="003F0F7B"/>
    <w:rsid w:val="003F2682"/>
    <w:rsid w:val="003F2884"/>
    <w:rsid w:val="003F28D5"/>
    <w:rsid w:val="003F3800"/>
    <w:rsid w:val="003F3BB4"/>
    <w:rsid w:val="003F4C95"/>
    <w:rsid w:val="003F73B9"/>
    <w:rsid w:val="003F7870"/>
    <w:rsid w:val="00400841"/>
    <w:rsid w:val="00400C0A"/>
    <w:rsid w:val="00400E65"/>
    <w:rsid w:val="00400F84"/>
    <w:rsid w:val="004010E8"/>
    <w:rsid w:val="004014EE"/>
    <w:rsid w:val="0040283B"/>
    <w:rsid w:val="004028E0"/>
    <w:rsid w:val="00404A6A"/>
    <w:rsid w:val="004063D9"/>
    <w:rsid w:val="00406AC6"/>
    <w:rsid w:val="004101D3"/>
    <w:rsid w:val="0041031C"/>
    <w:rsid w:val="00412E74"/>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4A08"/>
    <w:rsid w:val="00435CBE"/>
    <w:rsid w:val="00436047"/>
    <w:rsid w:val="00436B6D"/>
    <w:rsid w:val="00436B72"/>
    <w:rsid w:val="00436C33"/>
    <w:rsid w:val="00437640"/>
    <w:rsid w:val="00437F5D"/>
    <w:rsid w:val="00440CA8"/>
    <w:rsid w:val="00441AAC"/>
    <w:rsid w:val="00441D04"/>
    <w:rsid w:val="004475A4"/>
    <w:rsid w:val="00447B69"/>
    <w:rsid w:val="00450BA2"/>
    <w:rsid w:val="0045119C"/>
    <w:rsid w:val="004531F9"/>
    <w:rsid w:val="004557AA"/>
    <w:rsid w:val="004569A3"/>
    <w:rsid w:val="00461603"/>
    <w:rsid w:val="0046340C"/>
    <w:rsid w:val="00463D3F"/>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5BEE"/>
    <w:rsid w:val="004B7DF8"/>
    <w:rsid w:val="004C0ACF"/>
    <w:rsid w:val="004C3941"/>
    <w:rsid w:val="004C5AD4"/>
    <w:rsid w:val="004C5C7E"/>
    <w:rsid w:val="004C6774"/>
    <w:rsid w:val="004C6941"/>
    <w:rsid w:val="004C6B4E"/>
    <w:rsid w:val="004D23E4"/>
    <w:rsid w:val="004D2D40"/>
    <w:rsid w:val="004E0CD9"/>
    <w:rsid w:val="004E158D"/>
    <w:rsid w:val="004E1B70"/>
    <w:rsid w:val="004E1E6B"/>
    <w:rsid w:val="004E2029"/>
    <w:rsid w:val="004E45DD"/>
    <w:rsid w:val="004E4655"/>
    <w:rsid w:val="004E4707"/>
    <w:rsid w:val="004F07E9"/>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6D1"/>
    <w:rsid w:val="00513B0B"/>
    <w:rsid w:val="00521ECD"/>
    <w:rsid w:val="0052255C"/>
    <w:rsid w:val="00523F05"/>
    <w:rsid w:val="005240DA"/>
    <w:rsid w:val="00524EC1"/>
    <w:rsid w:val="00527BD5"/>
    <w:rsid w:val="00531CBE"/>
    <w:rsid w:val="00535FEA"/>
    <w:rsid w:val="005365DF"/>
    <w:rsid w:val="005401D6"/>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0E12"/>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0F72"/>
    <w:rsid w:val="005926DE"/>
    <w:rsid w:val="00592BD5"/>
    <w:rsid w:val="0059376D"/>
    <w:rsid w:val="00594DC4"/>
    <w:rsid w:val="00595C1D"/>
    <w:rsid w:val="005971DF"/>
    <w:rsid w:val="00597B99"/>
    <w:rsid w:val="005A0058"/>
    <w:rsid w:val="005A03FA"/>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297A"/>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1F8A"/>
    <w:rsid w:val="005D32AB"/>
    <w:rsid w:val="005D4B8A"/>
    <w:rsid w:val="005D52F4"/>
    <w:rsid w:val="005D5A25"/>
    <w:rsid w:val="005D6D2F"/>
    <w:rsid w:val="005E1305"/>
    <w:rsid w:val="005E29A5"/>
    <w:rsid w:val="005E4D19"/>
    <w:rsid w:val="005E76B1"/>
    <w:rsid w:val="005E7ED0"/>
    <w:rsid w:val="005E7F39"/>
    <w:rsid w:val="005F25AB"/>
    <w:rsid w:val="005F35BF"/>
    <w:rsid w:val="005F5119"/>
    <w:rsid w:val="005F5EFC"/>
    <w:rsid w:val="005F6489"/>
    <w:rsid w:val="005F6648"/>
    <w:rsid w:val="005F7173"/>
    <w:rsid w:val="005F796D"/>
    <w:rsid w:val="00600B46"/>
    <w:rsid w:val="00602559"/>
    <w:rsid w:val="006028C2"/>
    <w:rsid w:val="00606667"/>
    <w:rsid w:val="00610579"/>
    <w:rsid w:val="00612567"/>
    <w:rsid w:val="0061358B"/>
    <w:rsid w:val="0061371D"/>
    <w:rsid w:val="00617D1F"/>
    <w:rsid w:val="00620D24"/>
    <w:rsid w:val="00625AA7"/>
    <w:rsid w:val="006262E5"/>
    <w:rsid w:val="006264CC"/>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1FA"/>
    <w:rsid w:val="00657D7E"/>
    <w:rsid w:val="0066009B"/>
    <w:rsid w:val="00663FC2"/>
    <w:rsid w:val="0066409D"/>
    <w:rsid w:val="0066479F"/>
    <w:rsid w:val="00664E93"/>
    <w:rsid w:val="00664EFD"/>
    <w:rsid w:val="006678E7"/>
    <w:rsid w:val="00670B14"/>
    <w:rsid w:val="00676CAC"/>
    <w:rsid w:val="006814DC"/>
    <w:rsid w:val="0068189E"/>
    <w:rsid w:val="00681980"/>
    <w:rsid w:val="00681EE0"/>
    <w:rsid w:val="00683D6A"/>
    <w:rsid w:val="006845E8"/>
    <w:rsid w:val="0068569E"/>
    <w:rsid w:val="006857DF"/>
    <w:rsid w:val="00686DAE"/>
    <w:rsid w:val="0068F657"/>
    <w:rsid w:val="00691424"/>
    <w:rsid w:val="00692363"/>
    <w:rsid w:val="006A1DF4"/>
    <w:rsid w:val="006A40D6"/>
    <w:rsid w:val="006A4BEF"/>
    <w:rsid w:val="006A5C07"/>
    <w:rsid w:val="006B03B1"/>
    <w:rsid w:val="006B2E5A"/>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D5A"/>
    <w:rsid w:val="006D5E40"/>
    <w:rsid w:val="006D5F67"/>
    <w:rsid w:val="006D6977"/>
    <w:rsid w:val="006D7325"/>
    <w:rsid w:val="006D7754"/>
    <w:rsid w:val="006E1988"/>
    <w:rsid w:val="006E25FF"/>
    <w:rsid w:val="006E309B"/>
    <w:rsid w:val="006E691A"/>
    <w:rsid w:val="006E6C3D"/>
    <w:rsid w:val="006E9102"/>
    <w:rsid w:val="006F2488"/>
    <w:rsid w:val="006F3DCF"/>
    <w:rsid w:val="006F4800"/>
    <w:rsid w:val="006F5539"/>
    <w:rsid w:val="006F5573"/>
    <w:rsid w:val="006F6A72"/>
    <w:rsid w:val="006F71EA"/>
    <w:rsid w:val="006F78E1"/>
    <w:rsid w:val="006F7A3B"/>
    <w:rsid w:val="0070031B"/>
    <w:rsid w:val="00700385"/>
    <w:rsid w:val="007015B7"/>
    <w:rsid w:val="00701704"/>
    <w:rsid w:val="007047E7"/>
    <w:rsid w:val="00706859"/>
    <w:rsid w:val="007073AF"/>
    <w:rsid w:val="00707F36"/>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472"/>
    <w:rsid w:val="00742EE9"/>
    <w:rsid w:val="007447D8"/>
    <w:rsid w:val="00744A2C"/>
    <w:rsid w:val="007463F9"/>
    <w:rsid w:val="00750DD2"/>
    <w:rsid w:val="0075186D"/>
    <w:rsid w:val="007531A2"/>
    <w:rsid w:val="00754101"/>
    <w:rsid w:val="00754510"/>
    <w:rsid w:val="0075465A"/>
    <w:rsid w:val="00755F8F"/>
    <w:rsid w:val="00756313"/>
    <w:rsid w:val="00760385"/>
    <w:rsid w:val="0076089F"/>
    <w:rsid w:val="00761D00"/>
    <w:rsid w:val="00762F5F"/>
    <w:rsid w:val="00762F8B"/>
    <w:rsid w:val="00763E83"/>
    <w:rsid w:val="007653BA"/>
    <w:rsid w:val="00765A5E"/>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958"/>
    <w:rsid w:val="00790AE0"/>
    <w:rsid w:val="007913EB"/>
    <w:rsid w:val="00793071"/>
    <w:rsid w:val="007941F6"/>
    <w:rsid w:val="007944D1"/>
    <w:rsid w:val="00794A6E"/>
    <w:rsid w:val="00795225"/>
    <w:rsid w:val="00796288"/>
    <w:rsid w:val="00797C63"/>
    <w:rsid w:val="007A0659"/>
    <w:rsid w:val="007A08F9"/>
    <w:rsid w:val="007A138E"/>
    <w:rsid w:val="007A14F1"/>
    <w:rsid w:val="007A713E"/>
    <w:rsid w:val="007B04FD"/>
    <w:rsid w:val="007B15C3"/>
    <w:rsid w:val="007B1A56"/>
    <w:rsid w:val="007B1BA5"/>
    <w:rsid w:val="007B1E71"/>
    <w:rsid w:val="007B2B1B"/>
    <w:rsid w:val="007B2C9B"/>
    <w:rsid w:val="007B2CCB"/>
    <w:rsid w:val="007B5256"/>
    <w:rsid w:val="007B78E5"/>
    <w:rsid w:val="007C0725"/>
    <w:rsid w:val="007C090A"/>
    <w:rsid w:val="007C2A59"/>
    <w:rsid w:val="007C48B8"/>
    <w:rsid w:val="007C49AF"/>
    <w:rsid w:val="007C4D3E"/>
    <w:rsid w:val="007C5320"/>
    <w:rsid w:val="007C5580"/>
    <w:rsid w:val="007D31F4"/>
    <w:rsid w:val="007D3C52"/>
    <w:rsid w:val="007D3DA3"/>
    <w:rsid w:val="007D4CEA"/>
    <w:rsid w:val="007D4D3B"/>
    <w:rsid w:val="007D6567"/>
    <w:rsid w:val="007D6A9E"/>
    <w:rsid w:val="007D6AC3"/>
    <w:rsid w:val="007D73EA"/>
    <w:rsid w:val="007D740B"/>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B66"/>
    <w:rsid w:val="00811C8F"/>
    <w:rsid w:val="00812A40"/>
    <w:rsid w:val="00813311"/>
    <w:rsid w:val="00813F6D"/>
    <w:rsid w:val="00814BCD"/>
    <w:rsid w:val="00817EFC"/>
    <w:rsid w:val="0082060B"/>
    <w:rsid w:val="0082133F"/>
    <w:rsid w:val="00823059"/>
    <w:rsid w:val="00824064"/>
    <w:rsid w:val="00825892"/>
    <w:rsid w:val="008270D0"/>
    <w:rsid w:val="00827470"/>
    <w:rsid w:val="00830437"/>
    <w:rsid w:val="008308CB"/>
    <w:rsid w:val="008328B0"/>
    <w:rsid w:val="00833F68"/>
    <w:rsid w:val="008351F7"/>
    <w:rsid w:val="00836630"/>
    <w:rsid w:val="0083694D"/>
    <w:rsid w:val="00836F3C"/>
    <w:rsid w:val="00837442"/>
    <w:rsid w:val="008417A5"/>
    <w:rsid w:val="00841E2F"/>
    <w:rsid w:val="008446A1"/>
    <w:rsid w:val="00845DF8"/>
    <w:rsid w:val="00845E5E"/>
    <w:rsid w:val="00846438"/>
    <w:rsid w:val="00850740"/>
    <w:rsid w:val="0085119A"/>
    <w:rsid w:val="0085371F"/>
    <w:rsid w:val="00854023"/>
    <w:rsid w:val="008542E7"/>
    <w:rsid w:val="00856DCF"/>
    <w:rsid w:val="008575C3"/>
    <w:rsid w:val="00860B12"/>
    <w:rsid w:val="008639F3"/>
    <w:rsid w:val="0086454E"/>
    <w:rsid w:val="00864810"/>
    <w:rsid w:val="00865080"/>
    <w:rsid w:val="0086687E"/>
    <w:rsid w:val="0086734D"/>
    <w:rsid w:val="0087203A"/>
    <w:rsid w:val="008725AF"/>
    <w:rsid w:val="00872E83"/>
    <w:rsid w:val="0087413F"/>
    <w:rsid w:val="0087733B"/>
    <w:rsid w:val="00880A4E"/>
    <w:rsid w:val="00880FD6"/>
    <w:rsid w:val="00881FD2"/>
    <w:rsid w:val="00882A9F"/>
    <w:rsid w:val="00882E8E"/>
    <w:rsid w:val="008854B0"/>
    <w:rsid w:val="00885F90"/>
    <w:rsid w:val="00887C83"/>
    <w:rsid w:val="00891F51"/>
    <w:rsid w:val="008928E2"/>
    <w:rsid w:val="00893030"/>
    <w:rsid w:val="00893C4A"/>
    <w:rsid w:val="008946C1"/>
    <w:rsid w:val="00894EF3"/>
    <w:rsid w:val="008969E8"/>
    <w:rsid w:val="0089703C"/>
    <w:rsid w:val="008A1393"/>
    <w:rsid w:val="008A29F8"/>
    <w:rsid w:val="008A2CDF"/>
    <w:rsid w:val="008A3358"/>
    <w:rsid w:val="008A348A"/>
    <w:rsid w:val="008A3ED7"/>
    <w:rsid w:val="008A428D"/>
    <w:rsid w:val="008A4C01"/>
    <w:rsid w:val="008A5775"/>
    <w:rsid w:val="008A5A52"/>
    <w:rsid w:val="008A67E1"/>
    <w:rsid w:val="008B0603"/>
    <w:rsid w:val="008B08BA"/>
    <w:rsid w:val="008B10DB"/>
    <w:rsid w:val="008B4784"/>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D6B37"/>
    <w:rsid w:val="008E0197"/>
    <w:rsid w:val="008E086E"/>
    <w:rsid w:val="008E2C38"/>
    <w:rsid w:val="008E2DB0"/>
    <w:rsid w:val="008E39C3"/>
    <w:rsid w:val="008E56BA"/>
    <w:rsid w:val="008E5D41"/>
    <w:rsid w:val="008E6731"/>
    <w:rsid w:val="008E6A04"/>
    <w:rsid w:val="008E6FBF"/>
    <w:rsid w:val="008E79CC"/>
    <w:rsid w:val="008F38A7"/>
    <w:rsid w:val="008F46DE"/>
    <w:rsid w:val="008F47C3"/>
    <w:rsid w:val="008F5565"/>
    <w:rsid w:val="008F61D2"/>
    <w:rsid w:val="008F67D8"/>
    <w:rsid w:val="008F6F3E"/>
    <w:rsid w:val="00902743"/>
    <w:rsid w:val="00902788"/>
    <w:rsid w:val="00902CC5"/>
    <w:rsid w:val="00903DAD"/>
    <w:rsid w:val="00905172"/>
    <w:rsid w:val="00907860"/>
    <w:rsid w:val="00907D7F"/>
    <w:rsid w:val="00912CD2"/>
    <w:rsid w:val="00912F0A"/>
    <w:rsid w:val="00916B78"/>
    <w:rsid w:val="00920652"/>
    <w:rsid w:val="009207E5"/>
    <w:rsid w:val="0092135C"/>
    <w:rsid w:val="0092184D"/>
    <w:rsid w:val="009230FD"/>
    <w:rsid w:val="009234A2"/>
    <w:rsid w:val="00923D86"/>
    <w:rsid w:val="009242BD"/>
    <w:rsid w:val="00924F22"/>
    <w:rsid w:val="0092616B"/>
    <w:rsid w:val="0092663F"/>
    <w:rsid w:val="00927252"/>
    <w:rsid w:val="009278C8"/>
    <w:rsid w:val="00927BE8"/>
    <w:rsid w:val="00927F92"/>
    <w:rsid w:val="009304B8"/>
    <w:rsid w:val="009308BE"/>
    <w:rsid w:val="009323F0"/>
    <w:rsid w:val="00932900"/>
    <w:rsid w:val="00934C46"/>
    <w:rsid w:val="00935BD3"/>
    <w:rsid w:val="00936477"/>
    <w:rsid w:val="009373C3"/>
    <w:rsid w:val="00940073"/>
    <w:rsid w:val="00940266"/>
    <w:rsid w:val="009405B9"/>
    <w:rsid w:val="0094097C"/>
    <w:rsid w:val="0094124B"/>
    <w:rsid w:val="00943589"/>
    <w:rsid w:val="009436D4"/>
    <w:rsid w:val="00944032"/>
    <w:rsid w:val="009448C9"/>
    <w:rsid w:val="00946C9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77A64"/>
    <w:rsid w:val="0098024C"/>
    <w:rsid w:val="00981A69"/>
    <w:rsid w:val="00983C98"/>
    <w:rsid w:val="0098423B"/>
    <w:rsid w:val="009842C0"/>
    <w:rsid w:val="00984F6D"/>
    <w:rsid w:val="009853FF"/>
    <w:rsid w:val="009903EE"/>
    <w:rsid w:val="00990765"/>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105"/>
    <w:rsid w:val="009A5BE7"/>
    <w:rsid w:val="009A66F1"/>
    <w:rsid w:val="009AEB89"/>
    <w:rsid w:val="009B0388"/>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5A94"/>
    <w:rsid w:val="009D0EBF"/>
    <w:rsid w:val="009D0F7B"/>
    <w:rsid w:val="009D10BD"/>
    <w:rsid w:val="009D1F35"/>
    <w:rsid w:val="009D1FEB"/>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6EAC"/>
    <w:rsid w:val="009E70BC"/>
    <w:rsid w:val="009F09FA"/>
    <w:rsid w:val="009F1877"/>
    <w:rsid w:val="009F1F30"/>
    <w:rsid w:val="009F29DE"/>
    <w:rsid w:val="009F5106"/>
    <w:rsid w:val="009F55F6"/>
    <w:rsid w:val="009F5D5A"/>
    <w:rsid w:val="009F796A"/>
    <w:rsid w:val="00A000C7"/>
    <w:rsid w:val="00A01A12"/>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028"/>
    <w:rsid w:val="00A228EA"/>
    <w:rsid w:val="00A23B35"/>
    <w:rsid w:val="00A246DE"/>
    <w:rsid w:val="00A24A6D"/>
    <w:rsid w:val="00A26CF6"/>
    <w:rsid w:val="00A26D7A"/>
    <w:rsid w:val="00A27BA0"/>
    <w:rsid w:val="00A320CC"/>
    <w:rsid w:val="00A32720"/>
    <w:rsid w:val="00A32B58"/>
    <w:rsid w:val="00A338E1"/>
    <w:rsid w:val="00A3741C"/>
    <w:rsid w:val="00A4099E"/>
    <w:rsid w:val="00A41112"/>
    <w:rsid w:val="00A45FC7"/>
    <w:rsid w:val="00A4616F"/>
    <w:rsid w:val="00A4668E"/>
    <w:rsid w:val="00A500A1"/>
    <w:rsid w:val="00A501A3"/>
    <w:rsid w:val="00A51748"/>
    <w:rsid w:val="00A54646"/>
    <w:rsid w:val="00A5627D"/>
    <w:rsid w:val="00A56BFF"/>
    <w:rsid w:val="00A57229"/>
    <w:rsid w:val="00A6086F"/>
    <w:rsid w:val="00A63DA5"/>
    <w:rsid w:val="00A63DCE"/>
    <w:rsid w:val="00A65560"/>
    <w:rsid w:val="00A65761"/>
    <w:rsid w:val="00A65E60"/>
    <w:rsid w:val="00A67880"/>
    <w:rsid w:val="00A701CB"/>
    <w:rsid w:val="00A71EE3"/>
    <w:rsid w:val="00A72433"/>
    <w:rsid w:val="00A763AF"/>
    <w:rsid w:val="00A7746B"/>
    <w:rsid w:val="00A85AF9"/>
    <w:rsid w:val="00A86753"/>
    <w:rsid w:val="00A93471"/>
    <w:rsid w:val="00A93ACF"/>
    <w:rsid w:val="00A941F6"/>
    <w:rsid w:val="00A94B47"/>
    <w:rsid w:val="00A957C4"/>
    <w:rsid w:val="00A957E3"/>
    <w:rsid w:val="00A95A1B"/>
    <w:rsid w:val="00A96A62"/>
    <w:rsid w:val="00A96E81"/>
    <w:rsid w:val="00AA2EF8"/>
    <w:rsid w:val="00AA5B40"/>
    <w:rsid w:val="00AA6134"/>
    <w:rsid w:val="00AB04C5"/>
    <w:rsid w:val="00AB3902"/>
    <w:rsid w:val="00AB472A"/>
    <w:rsid w:val="00AB6F4E"/>
    <w:rsid w:val="00AC1E3E"/>
    <w:rsid w:val="00AC2EC2"/>
    <w:rsid w:val="00AC3792"/>
    <w:rsid w:val="00AC4783"/>
    <w:rsid w:val="00AC4D3A"/>
    <w:rsid w:val="00AC56F4"/>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54C9"/>
    <w:rsid w:val="00B07B86"/>
    <w:rsid w:val="00B101B7"/>
    <w:rsid w:val="00B10D4C"/>
    <w:rsid w:val="00B10F4B"/>
    <w:rsid w:val="00B11119"/>
    <w:rsid w:val="00B14DA9"/>
    <w:rsid w:val="00B16AB6"/>
    <w:rsid w:val="00B16C0F"/>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CD9"/>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67C1D"/>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1BDD"/>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158E"/>
    <w:rsid w:val="00BD2EF3"/>
    <w:rsid w:val="00BD3052"/>
    <w:rsid w:val="00BD4C34"/>
    <w:rsid w:val="00BD4CD0"/>
    <w:rsid w:val="00BD4D96"/>
    <w:rsid w:val="00BD501A"/>
    <w:rsid w:val="00BD6FC7"/>
    <w:rsid w:val="00BE0112"/>
    <w:rsid w:val="00BE019A"/>
    <w:rsid w:val="00BE4245"/>
    <w:rsid w:val="00BE5252"/>
    <w:rsid w:val="00BE55F6"/>
    <w:rsid w:val="00BE5E77"/>
    <w:rsid w:val="00BE6172"/>
    <w:rsid w:val="00BE7024"/>
    <w:rsid w:val="00BF058E"/>
    <w:rsid w:val="00BF089B"/>
    <w:rsid w:val="00BF0979"/>
    <w:rsid w:val="00BF2DB7"/>
    <w:rsid w:val="00BF3634"/>
    <w:rsid w:val="00BF387C"/>
    <w:rsid w:val="00BF4B6B"/>
    <w:rsid w:val="00BF4C8C"/>
    <w:rsid w:val="00BF4D41"/>
    <w:rsid w:val="00BF4D75"/>
    <w:rsid w:val="00BF7C67"/>
    <w:rsid w:val="00C02396"/>
    <w:rsid w:val="00C025F6"/>
    <w:rsid w:val="00C03AA9"/>
    <w:rsid w:val="00C042F8"/>
    <w:rsid w:val="00C05EA1"/>
    <w:rsid w:val="00C10703"/>
    <w:rsid w:val="00C11BB1"/>
    <w:rsid w:val="00C12BAC"/>
    <w:rsid w:val="00C12E4A"/>
    <w:rsid w:val="00C136BE"/>
    <w:rsid w:val="00C13F64"/>
    <w:rsid w:val="00C1409A"/>
    <w:rsid w:val="00C14481"/>
    <w:rsid w:val="00C14CE6"/>
    <w:rsid w:val="00C16877"/>
    <w:rsid w:val="00C1BE2B"/>
    <w:rsid w:val="00C204C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978E8"/>
    <w:rsid w:val="00CA08B7"/>
    <w:rsid w:val="00CA0D08"/>
    <w:rsid w:val="00CA0D4D"/>
    <w:rsid w:val="00CA65C7"/>
    <w:rsid w:val="00CA72B2"/>
    <w:rsid w:val="00CB00E6"/>
    <w:rsid w:val="00CB2D7D"/>
    <w:rsid w:val="00CB5CDF"/>
    <w:rsid w:val="00CB61D5"/>
    <w:rsid w:val="00CB64AA"/>
    <w:rsid w:val="00CB64F2"/>
    <w:rsid w:val="00CB75F7"/>
    <w:rsid w:val="00CC0903"/>
    <w:rsid w:val="00CC0E60"/>
    <w:rsid w:val="00CC0FF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5678"/>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3C8"/>
    <w:rsid w:val="00D327C8"/>
    <w:rsid w:val="00D32B36"/>
    <w:rsid w:val="00D32F08"/>
    <w:rsid w:val="00D337AC"/>
    <w:rsid w:val="00D33FB6"/>
    <w:rsid w:val="00D3532F"/>
    <w:rsid w:val="00D35CAC"/>
    <w:rsid w:val="00D35CE7"/>
    <w:rsid w:val="00D372BC"/>
    <w:rsid w:val="00D40E22"/>
    <w:rsid w:val="00D43B2E"/>
    <w:rsid w:val="00D441A0"/>
    <w:rsid w:val="00D45DF7"/>
    <w:rsid w:val="00D45FD9"/>
    <w:rsid w:val="00D4606C"/>
    <w:rsid w:val="00D50B47"/>
    <w:rsid w:val="00D5134A"/>
    <w:rsid w:val="00D5297D"/>
    <w:rsid w:val="00D541A0"/>
    <w:rsid w:val="00D5490B"/>
    <w:rsid w:val="00D54D5A"/>
    <w:rsid w:val="00D556B1"/>
    <w:rsid w:val="00D5792A"/>
    <w:rsid w:val="00D57B4F"/>
    <w:rsid w:val="00D6087A"/>
    <w:rsid w:val="00D6186A"/>
    <w:rsid w:val="00D6283A"/>
    <w:rsid w:val="00D64286"/>
    <w:rsid w:val="00D64D1E"/>
    <w:rsid w:val="00D650D6"/>
    <w:rsid w:val="00D6550E"/>
    <w:rsid w:val="00D6593C"/>
    <w:rsid w:val="00D668D1"/>
    <w:rsid w:val="00D66A64"/>
    <w:rsid w:val="00D66D1D"/>
    <w:rsid w:val="00D66FA2"/>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4D23"/>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030"/>
    <w:rsid w:val="00DB2283"/>
    <w:rsid w:val="00DB3EF7"/>
    <w:rsid w:val="00DB4806"/>
    <w:rsid w:val="00DB4A62"/>
    <w:rsid w:val="00DB4BEB"/>
    <w:rsid w:val="00DB586A"/>
    <w:rsid w:val="00DB5AC8"/>
    <w:rsid w:val="00DB60CE"/>
    <w:rsid w:val="00DB7014"/>
    <w:rsid w:val="00DB7DDE"/>
    <w:rsid w:val="00DC099E"/>
    <w:rsid w:val="00DC18BF"/>
    <w:rsid w:val="00DC1C8B"/>
    <w:rsid w:val="00DC4C3A"/>
    <w:rsid w:val="00DC7128"/>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4E3C"/>
    <w:rsid w:val="00DF507E"/>
    <w:rsid w:val="00DF5211"/>
    <w:rsid w:val="00DF73E6"/>
    <w:rsid w:val="00E00F70"/>
    <w:rsid w:val="00E01E8E"/>
    <w:rsid w:val="00E02E6D"/>
    <w:rsid w:val="00E033A5"/>
    <w:rsid w:val="00E03A61"/>
    <w:rsid w:val="00E03F8C"/>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47A80"/>
    <w:rsid w:val="00E503F9"/>
    <w:rsid w:val="00E5094F"/>
    <w:rsid w:val="00E55489"/>
    <w:rsid w:val="00E56695"/>
    <w:rsid w:val="00E5724E"/>
    <w:rsid w:val="00E57337"/>
    <w:rsid w:val="00E60BF4"/>
    <w:rsid w:val="00E610B6"/>
    <w:rsid w:val="00E6144C"/>
    <w:rsid w:val="00E62A2B"/>
    <w:rsid w:val="00E6304B"/>
    <w:rsid w:val="00E63A32"/>
    <w:rsid w:val="00E66976"/>
    <w:rsid w:val="00E67929"/>
    <w:rsid w:val="00E72D9B"/>
    <w:rsid w:val="00E730FE"/>
    <w:rsid w:val="00E74D8B"/>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4CCA"/>
    <w:rsid w:val="00EB627A"/>
    <w:rsid w:val="00EB7782"/>
    <w:rsid w:val="00EC0673"/>
    <w:rsid w:val="00EC09DF"/>
    <w:rsid w:val="00EC1270"/>
    <w:rsid w:val="00EC781D"/>
    <w:rsid w:val="00ED1F36"/>
    <w:rsid w:val="00ED2154"/>
    <w:rsid w:val="00ED5AEE"/>
    <w:rsid w:val="00EE049C"/>
    <w:rsid w:val="00EE06A9"/>
    <w:rsid w:val="00EE27AC"/>
    <w:rsid w:val="00EE5006"/>
    <w:rsid w:val="00EF063F"/>
    <w:rsid w:val="00EF0B6C"/>
    <w:rsid w:val="00EF2F3E"/>
    <w:rsid w:val="00EF3B1B"/>
    <w:rsid w:val="00EF3CD0"/>
    <w:rsid w:val="00EF4903"/>
    <w:rsid w:val="00F0175A"/>
    <w:rsid w:val="00F02696"/>
    <w:rsid w:val="00F03054"/>
    <w:rsid w:val="00F0371C"/>
    <w:rsid w:val="00F045CC"/>
    <w:rsid w:val="00F073D6"/>
    <w:rsid w:val="00F07576"/>
    <w:rsid w:val="00F1218F"/>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3051"/>
    <w:rsid w:val="00F256A4"/>
    <w:rsid w:val="00F256AF"/>
    <w:rsid w:val="00F26551"/>
    <w:rsid w:val="00F27C4E"/>
    <w:rsid w:val="00F30B81"/>
    <w:rsid w:val="00F3101A"/>
    <w:rsid w:val="00F33245"/>
    <w:rsid w:val="00F34C73"/>
    <w:rsid w:val="00F34EB5"/>
    <w:rsid w:val="00F404D9"/>
    <w:rsid w:val="00F4498E"/>
    <w:rsid w:val="00F44B10"/>
    <w:rsid w:val="00F44E76"/>
    <w:rsid w:val="00F47C13"/>
    <w:rsid w:val="00F47E0F"/>
    <w:rsid w:val="00F50B6E"/>
    <w:rsid w:val="00F53327"/>
    <w:rsid w:val="00F5427B"/>
    <w:rsid w:val="00F56957"/>
    <w:rsid w:val="00F56BA1"/>
    <w:rsid w:val="00F6050E"/>
    <w:rsid w:val="00F6163F"/>
    <w:rsid w:val="00F620CF"/>
    <w:rsid w:val="00F6235C"/>
    <w:rsid w:val="00F6394F"/>
    <w:rsid w:val="00F649EF"/>
    <w:rsid w:val="00F655F3"/>
    <w:rsid w:val="00F67D32"/>
    <w:rsid w:val="00F70DCC"/>
    <w:rsid w:val="00F70F42"/>
    <w:rsid w:val="00F71B93"/>
    <w:rsid w:val="00F7290C"/>
    <w:rsid w:val="00F72D4A"/>
    <w:rsid w:val="00F7397C"/>
    <w:rsid w:val="00F73D24"/>
    <w:rsid w:val="00F7575F"/>
    <w:rsid w:val="00F75D4A"/>
    <w:rsid w:val="00F76AAB"/>
    <w:rsid w:val="00F81103"/>
    <w:rsid w:val="00F81768"/>
    <w:rsid w:val="00F818A1"/>
    <w:rsid w:val="00F853DA"/>
    <w:rsid w:val="00F86F85"/>
    <w:rsid w:val="00F87A7E"/>
    <w:rsid w:val="00F87D6E"/>
    <w:rsid w:val="00F90712"/>
    <w:rsid w:val="00F92298"/>
    <w:rsid w:val="00F92318"/>
    <w:rsid w:val="00F963F0"/>
    <w:rsid w:val="00F97EDB"/>
    <w:rsid w:val="00FA00C4"/>
    <w:rsid w:val="00FA0F08"/>
    <w:rsid w:val="00FA2918"/>
    <w:rsid w:val="00FA4060"/>
    <w:rsid w:val="00FA4431"/>
    <w:rsid w:val="00FA5100"/>
    <w:rsid w:val="00FB0393"/>
    <w:rsid w:val="00FB1E13"/>
    <w:rsid w:val="00FB2C5C"/>
    <w:rsid w:val="00FB369F"/>
    <w:rsid w:val="00FB3B4D"/>
    <w:rsid w:val="00FB44C3"/>
    <w:rsid w:val="00FB4F6C"/>
    <w:rsid w:val="00FB6D01"/>
    <w:rsid w:val="00FB6DDB"/>
    <w:rsid w:val="00FB7B97"/>
    <w:rsid w:val="00FC171B"/>
    <w:rsid w:val="00FC1847"/>
    <w:rsid w:val="00FC187E"/>
    <w:rsid w:val="00FC5048"/>
    <w:rsid w:val="00FC576A"/>
    <w:rsid w:val="00FC5CA1"/>
    <w:rsid w:val="00FC65BB"/>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B43BF"/>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DDA1C7"/>
    <w:rsid w:val="03F89F7D"/>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CD7BF4"/>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3BE4F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1E6655"/>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1DA466"/>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69A3B0"/>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41DB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719FFB"/>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C4E23"/>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2318D5"/>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15EE4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A1FBCE"/>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5E33FD"/>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0C190B"/>
    <w:rsid w:val="471DFDE9"/>
    <w:rsid w:val="473C7382"/>
    <w:rsid w:val="474DC713"/>
    <w:rsid w:val="4776DC66"/>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BFA576"/>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895340"/>
    <w:rsid w:val="4FA34550"/>
    <w:rsid w:val="4FABD11B"/>
    <w:rsid w:val="4FB063D6"/>
    <w:rsid w:val="4FC897DE"/>
    <w:rsid w:val="4FE6317D"/>
    <w:rsid w:val="50288D13"/>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2E6F26"/>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DFB7DC3"/>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B8A751"/>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ADA8E8"/>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884A4"/>
    <w:rsid w:val="747F4C39"/>
    <w:rsid w:val="74C5B3D0"/>
    <w:rsid w:val="74DFC61D"/>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25956"/>
    <w:rsid w:val="75C81719"/>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CDE582"/>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D2D171"/>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Tekst przypisu 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qFormat/>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qFormat/>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150270"/>
    <w:pPr>
      <w:spacing w:after="240"/>
      <w:ind w:left="1276"/>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150270"/>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5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0845786">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1303169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539821582">
      <w:bodyDiv w:val="1"/>
      <w:marLeft w:val="0"/>
      <w:marRight w:val="0"/>
      <w:marTop w:val="0"/>
      <w:marBottom w:val="0"/>
      <w:divBdr>
        <w:top w:val="none" w:sz="0" w:space="0" w:color="auto"/>
        <w:left w:val="none" w:sz="0" w:space="0" w:color="auto"/>
        <w:bottom w:val="none" w:sz="0" w:space="0" w:color="auto"/>
        <w:right w:val="none" w:sz="0" w:space="0" w:color="auto"/>
      </w:divBdr>
    </w:div>
    <w:div w:id="607128753">
      <w:bodyDiv w:val="1"/>
      <w:marLeft w:val="0"/>
      <w:marRight w:val="0"/>
      <w:marTop w:val="0"/>
      <w:marBottom w:val="0"/>
      <w:divBdr>
        <w:top w:val="none" w:sz="0" w:space="0" w:color="auto"/>
        <w:left w:val="none" w:sz="0" w:space="0" w:color="auto"/>
        <w:bottom w:val="none" w:sz="0" w:space="0" w:color="auto"/>
        <w:right w:val="none" w:sz="0" w:space="0" w:color="auto"/>
      </w:divBdr>
    </w:div>
    <w:div w:id="663166801">
      <w:bodyDiv w:val="1"/>
      <w:marLeft w:val="0"/>
      <w:marRight w:val="0"/>
      <w:marTop w:val="0"/>
      <w:marBottom w:val="0"/>
      <w:divBdr>
        <w:top w:val="none" w:sz="0" w:space="0" w:color="auto"/>
        <w:left w:val="none" w:sz="0" w:space="0" w:color="auto"/>
        <w:bottom w:val="none" w:sz="0" w:space="0" w:color="auto"/>
        <w:right w:val="none" w:sz="0" w:space="0" w:color="auto"/>
      </w:divBdr>
    </w:div>
    <w:div w:id="764692817">
      <w:bodyDiv w:val="1"/>
      <w:marLeft w:val="0"/>
      <w:marRight w:val="0"/>
      <w:marTop w:val="0"/>
      <w:marBottom w:val="0"/>
      <w:divBdr>
        <w:top w:val="none" w:sz="0" w:space="0" w:color="auto"/>
        <w:left w:val="none" w:sz="0" w:space="0" w:color="auto"/>
        <w:bottom w:val="none" w:sz="0" w:space="0" w:color="auto"/>
        <w:right w:val="none" w:sz="0" w:space="0" w:color="auto"/>
      </w:divBdr>
    </w:div>
    <w:div w:id="911813597">
      <w:bodyDiv w:val="1"/>
      <w:marLeft w:val="0"/>
      <w:marRight w:val="0"/>
      <w:marTop w:val="0"/>
      <w:marBottom w:val="0"/>
      <w:divBdr>
        <w:top w:val="none" w:sz="0" w:space="0" w:color="auto"/>
        <w:left w:val="none" w:sz="0" w:space="0" w:color="auto"/>
        <w:bottom w:val="none" w:sz="0" w:space="0" w:color="auto"/>
        <w:right w:val="none" w:sz="0" w:space="0" w:color="auto"/>
      </w:divBdr>
    </w:div>
    <w:div w:id="1049955833">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0341">
      <w:bodyDiv w:val="1"/>
      <w:marLeft w:val="0"/>
      <w:marRight w:val="0"/>
      <w:marTop w:val="0"/>
      <w:marBottom w:val="0"/>
      <w:divBdr>
        <w:top w:val="none" w:sz="0" w:space="0" w:color="auto"/>
        <w:left w:val="none" w:sz="0" w:space="0" w:color="auto"/>
        <w:bottom w:val="none" w:sz="0" w:space="0" w:color="auto"/>
        <w:right w:val="none" w:sz="0" w:space="0" w:color="auto"/>
      </w:divBdr>
    </w:div>
    <w:div w:id="1542671197">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34153919">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96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mailto:lsifr@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lsi2021.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drzewa.org.pl/standardy" TargetMode="External"/><Relationship Id="rId28" Type="http://schemas.openxmlformats.org/officeDocument/2006/relationships/hyperlink" Target="https://www.gov.pl/web/fundusze-regiony/wytyczne-na-lata-2021-2027"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web/guest/w/szop_v21" TargetMode="External"/><Relationship Id="rId27" Type="http://schemas.openxmlformats.org/officeDocument/2006/relationships/hyperlink" Target="https://funduszeue.slaskie.pl/web/guest/strony/dane-osobowe"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power.gov.pl/strony/o-programie/dokumenty/wytyczne-dotyczace-realizacji-zasad-rownosciowych-w-ramach-funduszy-unijnych-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2e5d6-3164-4114-9510-1696955387a4" xsi:nil="true"/>
    <lcf76f155ced4ddcb4097134ff3c332f xmlns="9ebde75c-c695-442a-80d4-61b034fbba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EC8107F11BB34F81F6D35CD3AFF487" ma:contentTypeVersion="17" ma:contentTypeDescription="Utwórz nowy dokument." ma:contentTypeScope="" ma:versionID="08d996659f14d0c401d1a4e4ef83bef9">
  <xsd:schema xmlns:xsd="http://www.w3.org/2001/XMLSchema" xmlns:xs="http://www.w3.org/2001/XMLSchema" xmlns:p="http://schemas.microsoft.com/office/2006/metadata/properties" xmlns:ns2="9ebde75c-c695-442a-80d4-61b034fbba81" xmlns:ns3="6852e5d6-3164-4114-9510-1696955387a4" targetNamespace="http://schemas.microsoft.com/office/2006/metadata/properties" ma:root="true" ma:fieldsID="a63e85d64bc2374b99376dd900003eb6" ns2:_="" ns3:_="">
    <xsd:import namespace="9ebde75c-c695-442a-80d4-61b034fbba81"/>
    <xsd:import namespace="6852e5d6-3164-4114-9510-1696955387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e75c-c695-442a-80d4-61b034fb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e5d6-3164-4114-9510-1696955387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4dfd8ecb-48ca-46b4-a91b-7d92686a607b}" ma:internalName="TaxCatchAll" ma:showField="CatchAllData" ma:web="6852e5d6-3164-4114-9510-169695538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purl.org/dc/terms/"/>
    <ds:schemaRef ds:uri="http://schemas.microsoft.com/office/2006/metadata/properties"/>
    <ds:schemaRef ds:uri="http://schemas.microsoft.com/office/2006/documentManagement/types"/>
    <ds:schemaRef ds:uri="http://www.w3.org/XML/1998/namespace"/>
    <ds:schemaRef ds:uri="6852e5d6-3164-4114-9510-1696955387a4"/>
    <ds:schemaRef ds:uri="http://schemas.microsoft.com/office/infopath/2007/PartnerControls"/>
    <ds:schemaRef ds:uri="http://schemas.openxmlformats.org/package/2006/metadata/core-properties"/>
    <ds:schemaRef ds:uri="9ebde75c-c695-442a-80d4-61b034fbba81"/>
    <ds:schemaRef ds:uri="http://purl.org/dc/dcmitype/"/>
    <ds:schemaRef ds:uri="http://purl.org/dc/elements/1.1/"/>
  </ds:schemaRefs>
</ds:datastoreItem>
</file>

<file path=customXml/itemProps2.xml><?xml version="1.0" encoding="utf-8"?>
<ds:datastoreItem xmlns:ds="http://schemas.openxmlformats.org/officeDocument/2006/customXml" ds:itemID="{2BE1CB41-0C6C-4ED3-AF3E-32C42559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de75c-c695-442a-80d4-61b034fbba81"/>
    <ds:schemaRef ds:uri="6852e5d6-3164-4114-9510-169695538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20CB2817-FCE5-4ED7-A885-5BCD8B53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43</Pages>
  <Words>9107</Words>
  <Characters>54646</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Mokry Jarosław</cp:lastModifiedBy>
  <cp:revision>529</cp:revision>
  <dcterms:created xsi:type="dcterms:W3CDTF">2023-11-17T14:41:00Z</dcterms:created>
  <dcterms:modified xsi:type="dcterms:W3CDTF">2026-04-23T11:09:00Z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0x010100F4EC8107F11BB34F81F6D35CD3AFF487</vt:lpwstr>
  </property>
  <property fmtid="{D5CDD505-2E9C-101B-9397-08002B2CF9AE}" pid="3" name="MediaServiceImageTags">
    <vt:lpwstr/>
  </property>
</Properties>
</file>