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4144A" w14:textId="77777777" w:rsidR="00442DCB" w:rsidRDefault="00442DCB" w:rsidP="00134924">
      <w:pPr>
        <w:pStyle w:val="Nagwek2"/>
        <w:spacing w:after="240"/>
        <w:rPr>
          <w:color w:val="auto"/>
          <w:szCs w:val="32"/>
        </w:rPr>
      </w:pPr>
    </w:p>
    <w:p w14:paraId="62958564" w14:textId="4546128D" w:rsidR="00442DCB" w:rsidRPr="007A7F62" w:rsidRDefault="00442DCB" w:rsidP="00442DCB">
      <w:pPr>
        <w:spacing w:before="24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Toc416693506"/>
      <w:r w:rsidRPr="47B1E96A">
        <w:rPr>
          <w:rFonts w:ascii="Times New Roman" w:hAnsi="Times New Roman"/>
          <w:b/>
          <w:bCs/>
          <w:sz w:val="24"/>
          <w:szCs w:val="24"/>
        </w:rPr>
        <w:t xml:space="preserve">Uchwała nr </w:t>
      </w:r>
      <w:r w:rsidR="00AE7310">
        <w:rPr>
          <w:rFonts w:ascii="Times New Roman" w:hAnsi="Times New Roman"/>
          <w:b/>
          <w:bCs/>
          <w:sz w:val="24"/>
          <w:szCs w:val="24"/>
        </w:rPr>
        <w:t>69</w:t>
      </w:r>
    </w:p>
    <w:p w14:paraId="1D2B49F0" w14:textId="77777777" w:rsidR="00442DCB" w:rsidRPr="00CB4EC3" w:rsidRDefault="00442DCB" w:rsidP="00442DCB">
      <w:pPr>
        <w:spacing w:before="24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B4EC3">
        <w:rPr>
          <w:rFonts w:ascii="Times New Roman" w:hAnsi="Times New Roman"/>
          <w:b/>
          <w:bCs/>
          <w:sz w:val="24"/>
          <w:szCs w:val="24"/>
        </w:rPr>
        <w:t>Komitetu Monitorującego</w:t>
      </w:r>
    </w:p>
    <w:p w14:paraId="20C0324A" w14:textId="1111D53D" w:rsidR="00442DCB" w:rsidRPr="00CB4EC3" w:rsidRDefault="00AE7310" w:rsidP="00442DCB">
      <w:pPr>
        <w:spacing w:before="24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</w:t>
      </w:r>
      <w:bookmarkStart w:id="1" w:name="_GoBack"/>
      <w:bookmarkEnd w:id="1"/>
      <w:r>
        <w:rPr>
          <w:rFonts w:ascii="Times New Roman" w:hAnsi="Times New Roman"/>
          <w:b/>
          <w:bCs/>
          <w:sz w:val="24"/>
          <w:szCs w:val="24"/>
        </w:rPr>
        <w:t xml:space="preserve">rogram </w:t>
      </w:r>
      <w:r w:rsidR="00442DCB">
        <w:rPr>
          <w:rFonts w:ascii="Times New Roman" w:hAnsi="Times New Roman"/>
          <w:b/>
          <w:bCs/>
          <w:sz w:val="24"/>
          <w:szCs w:val="24"/>
        </w:rPr>
        <w:t>Fundusze Europejskie dla Śląskiego 2021- 2027</w:t>
      </w:r>
    </w:p>
    <w:p w14:paraId="0855F9E8" w14:textId="1085F5B7" w:rsidR="00442DCB" w:rsidRPr="00CB4EC3" w:rsidRDefault="00442DCB" w:rsidP="00442DCB">
      <w:pPr>
        <w:spacing w:before="24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B4EC3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AE7310">
        <w:rPr>
          <w:rFonts w:ascii="Times New Roman" w:hAnsi="Times New Roman"/>
          <w:b/>
          <w:bCs/>
          <w:sz w:val="24"/>
          <w:szCs w:val="24"/>
        </w:rPr>
        <w:t>6 czerwca 2023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EC3">
        <w:rPr>
          <w:rFonts w:ascii="Times New Roman" w:hAnsi="Times New Roman"/>
          <w:b/>
          <w:bCs/>
          <w:sz w:val="24"/>
          <w:szCs w:val="24"/>
        </w:rPr>
        <w:t>roku</w:t>
      </w:r>
    </w:p>
    <w:p w14:paraId="6560F586" w14:textId="77777777" w:rsidR="00442DCB" w:rsidRPr="00EC5F89" w:rsidRDefault="00442DCB" w:rsidP="00442DCB">
      <w:pPr>
        <w:spacing w:before="240" w:after="12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58C7F40C">
        <w:rPr>
          <w:rFonts w:ascii="Times New Roman" w:hAnsi="Times New Roman"/>
          <w:b/>
          <w:bCs/>
          <w:sz w:val="24"/>
          <w:szCs w:val="24"/>
        </w:rPr>
        <w:t>w sprawie</w:t>
      </w:r>
    </w:p>
    <w:p w14:paraId="53B7F104" w14:textId="77777777" w:rsidR="00442DCB" w:rsidRPr="007E2F13" w:rsidRDefault="00442DCB" w:rsidP="00442DCB">
      <w:pPr>
        <w:pStyle w:val="Default"/>
        <w:spacing w:before="240" w:line="360" w:lineRule="auto"/>
        <w:jc w:val="center"/>
        <w:rPr>
          <w:rFonts w:ascii="Times New Roman" w:hAnsi="Times New Roman"/>
          <w:b/>
          <w:bCs/>
          <w:i/>
        </w:rPr>
      </w:pPr>
      <w:r w:rsidRPr="58C7F40C">
        <w:rPr>
          <w:rFonts w:ascii="Times New Roman" w:hAnsi="Times New Roman"/>
          <w:b/>
          <w:bCs/>
          <w:i/>
          <w:iCs/>
        </w:rPr>
        <w:t>zatwierdzenia</w:t>
      </w:r>
      <w:r>
        <w:rPr>
          <w:rFonts w:ascii="Times New Roman" w:hAnsi="Times New Roman"/>
          <w:b/>
          <w:bCs/>
          <w:i/>
          <w:iCs/>
        </w:rPr>
        <w:t xml:space="preserve"> kryteriów wyboru projektów dla działania </w:t>
      </w:r>
      <w:r w:rsidRPr="0002600F">
        <w:rPr>
          <w:rFonts w:ascii="Times New Roman" w:hAnsi="Times New Roman"/>
          <w:b/>
          <w:bCs/>
          <w:i/>
          <w:iCs/>
        </w:rPr>
        <w:t>10.03 Wsparcie MŚP na rzecz transformacji</w:t>
      </w:r>
      <w:r>
        <w:rPr>
          <w:rFonts w:ascii="Times New Roman" w:hAnsi="Times New Roman"/>
          <w:b/>
          <w:bCs/>
          <w:i/>
          <w:iCs/>
        </w:rPr>
        <w:t xml:space="preserve">, typ projektu Mikroinwestycje w MŚP </w:t>
      </w:r>
    </w:p>
    <w:p w14:paraId="52A61067" w14:textId="77777777" w:rsidR="00442DCB" w:rsidRDefault="00442DCB" w:rsidP="00442DCB">
      <w:pPr>
        <w:spacing w:before="240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47D0131D" w14:textId="77777777" w:rsidR="00442DCB" w:rsidRPr="00066355" w:rsidRDefault="00442DCB" w:rsidP="00442DCB">
      <w:pPr>
        <w:spacing w:before="240"/>
        <w:jc w:val="both"/>
        <w:rPr>
          <w:rFonts w:ascii="Times New Roman" w:hAnsi="Times New Roman"/>
          <w:i/>
          <w:iCs/>
          <w:sz w:val="18"/>
          <w:szCs w:val="18"/>
        </w:rPr>
      </w:pPr>
      <w:r w:rsidRPr="490627EF">
        <w:rPr>
          <w:rFonts w:ascii="Times New Roman" w:hAnsi="Times New Roman"/>
          <w:i/>
          <w:iCs/>
          <w:sz w:val="18"/>
          <w:szCs w:val="18"/>
        </w:rPr>
        <w:t xml:space="preserve">Na podstawie art. </w:t>
      </w:r>
      <w:r>
        <w:rPr>
          <w:rFonts w:ascii="Times New Roman" w:hAnsi="Times New Roman"/>
          <w:i/>
          <w:iCs/>
          <w:sz w:val="18"/>
          <w:szCs w:val="18"/>
        </w:rPr>
        <w:t>40</w:t>
      </w:r>
      <w:r w:rsidRPr="490627EF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 xml:space="preserve">ust. 2 </w:t>
      </w:r>
      <w:r w:rsidRPr="001F5F7A">
        <w:rPr>
          <w:rFonts w:ascii="Times New Roman" w:hAnsi="Times New Roman"/>
          <w:i/>
          <w:iCs/>
          <w:sz w:val="18"/>
          <w:szCs w:val="18"/>
        </w:rPr>
        <w:t>Rozporządzenie Parlamentu Europejskiego I Rady (UE) 2021/1060 z dnia 24 czerwca 2021 r.</w:t>
      </w: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1F5F7A">
        <w:rPr>
          <w:rFonts w:ascii="Times New Roman" w:hAnsi="Times New Roman"/>
          <w:i/>
          <w:iCs/>
          <w:sz w:val="18"/>
          <w:szCs w:val="18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rPr>
          <w:rFonts w:ascii="Times New Roman" w:hAnsi="Times New Roman"/>
          <w:i/>
          <w:iCs/>
          <w:sz w:val="18"/>
          <w:szCs w:val="18"/>
        </w:rPr>
        <w:br/>
      </w:r>
      <w:r w:rsidRPr="001F5F7A">
        <w:rPr>
          <w:rFonts w:ascii="Times New Roman" w:hAnsi="Times New Roman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490627EF">
        <w:rPr>
          <w:rFonts w:ascii="Times New Roman" w:hAnsi="Times New Roman"/>
          <w:i/>
          <w:iCs/>
          <w:sz w:val="18"/>
          <w:szCs w:val="18"/>
        </w:rPr>
        <w:t xml:space="preserve">; art. </w:t>
      </w:r>
      <w:r>
        <w:rPr>
          <w:rFonts w:ascii="Times New Roman" w:hAnsi="Times New Roman"/>
          <w:i/>
          <w:iCs/>
          <w:sz w:val="18"/>
          <w:szCs w:val="18"/>
        </w:rPr>
        <w:t>19</w:t>
      </w:r>
      <w:r w:rsidRPr="490627EF">
        <w:rPr>
          <w:rFonts w:ascii="Times New Roman" w:hAnsi="Times New Roman"/>
          <w:i/>
          <w:iCs/>
          <w:sz w:val="18"/>
          <w:szCs w:val="18"/>
        </w:rPr>
        <w:t xml:space="preserve"> ustawy z dnia </w:t>
      </w:r>
      <w:r>
        <w:rPr>
          <w:rFonts w:ascii="Times New Roman" w:hAnsi="Times New Roman"/>
          <w:i/>
          <w:iCs/>
          <w:sz w:val="18"/>
          <w:szCs w:val="18"/>
        </w:rPr>
        <w:t>28 kwietnia 2022</w:t>
      </w:r>
      <w:r w:rsidRPr="490627EF">
        <w:rPr>
          <w:rFonts w:ascii="Times New Roman" w:hAnsi="Times New Roman"/>
          <w:i/>
          <w:iCs/>
          <w:sz w:val="18"/>
          <w:szCs w:val="18"/>
        </w:rPr>
        <w:t xml:space="preserve"> r o zasadach realizacji </w:t>
      </w:r>
      <w:r w:rsidRPr="001F5F7A">
        <w:rPr>
          <w:rFonts w:ascii="Times New Roman" w:hAnsi="Times New Roman"/>
          <w:i/>
          <w:iCs/>
          <w:sz w:val="18"/>
          <w:szCs w:val="18"/>
        </w:rPr>
        <w:t>zadań finansowanych ze środków europejskich w</w:t>
      </w: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1F5F7A">
        <w:rPr>
          <w:rFonts w:ascii="Times New Roman" w:hAnsi="Times New Roman"/>
          <w:i/>
          <w:iCs/>
          <w:sz w:val="18"/>
          <w:szCs w:val="18"/>
        </w:rPr>
        <w:t>perspektywie finansowej 2021–2027</w:t>
      </w:r>
    </w:p>
    <w:p w14:paraId="147A1542" w14:textId="77777777" w:rsidR="00442DCB" w:rsidRDefault="00442DCB" w:rsidP="00442DCB">
      <w:pPr>
        <w:spacing w:before="240" w:after="120"/>
        <w:jc w:val="center"/>
        <w:rPr>
          <w:rFonts w:ascii="Times New Roman" w:hAnsi="Times New Roman"/>
          <w:b/>
          <w:bCs/>
        </w:rPr>
      </w:pPr>
    </w:p>
    <w:p w14:paraId="2A8E30A9" w14:textId="77777777" w:rsidR="00442DCB" w:rsidRPr="0037477A" w:rsidRDefault="00442DCB" w:rsidP="00442DCB">
      <w:pPr>
        <w:spacing w:before="240" w:after="120"/>
        <w:jc w:val="center"/>
        <w:rPr>
          <w:rFonts w:ascii="Times New Roman" w:hAnsi="Times New Roman"/>
          <w:bCs/>
        </w:rPr>
      </w:pPr>
      <w:r w:rsidRPr="0037477A">
        <w:rPr>
          <w:rFonts w:ascii="Times New Roman" w:hAnsi="Times New Roman"/>
          <w:b/>
          <w:bCs/>
        </w:rPr>
        <w:t>§ 1</w:t>
      </w:r>
    </w:p>
    <w:p w14:paraId="2BED9944" w14:textId="77777777" w:rsidR="00442DCB" w:rsidRPr="00755761" w:rsidRDefault="00442DCB" w:rsidP="00442DC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eastAsia="Times New Roman" w:hAnsi="Times New Roman"/>
          <w:i/>
          <w:iCs/>
        </w:rPr>
      </w:pPr>
      <w:r w:rsidRPr="58C7F40C">
        <w:rPr>
          <w:rStyle w:val="Pogrubienie"/>
          <w:rFonts w:ascii="Times New Roman" w:hAnsi="Times New Roman"/>
          <w:b w:val="0"/>
          <w:bCs w:val="0"/>
        </w:rPr>
        <w:t>Zatwierdza się kryteria wyboru projektów</w:t>
      </w:r>
      <w:r>
        <w:rPr>
          <w:rFonts w:ascii="Times New Roman" w:hAnsi="Times New Roman"/>
        </w:rPr>
        <w:t xml:space="preserve"> </w:t>
      </w:r>
      <w:r w:rsidRPr="58C7F40C">
        <w:rPr>
          <w:rFonts w:ascii="Times New Roman" w:hAnsi="Times New Roman"/>
        </w:rPr>
        <w:t>dla</w:t>
      </w:r>
      <w:r>
        <w:rPr>
          <w:rFonts w:ascii="Times New Roman" w:hAnsi="Times New Roman"/>
        </w:rPr>
        <w:t xml:space="preserve"> działania </w:t>
      </w:r>
      <w:r w:rsidRPr="0002600F">
        <w:rPr>
          <w:rFonts w:ascii="Times New Roman" w:hAnsi="Times New Roman"/>
        </w:rPr>
        <w:t>10.03 Wsparcie MŚP na rzecz transformacji</w:t>
      </w:r>
      <w:r>
        <w:rPr>
          <w:rFonts w:ascii="Times New Roman" w:hAnsi="Times New Roman"/>
        </w:rPr>
        <w:t>, typ projektu Mikroinwestycje w MŚP.</w:t>
      </w:r>
    </w:p>
    <w:p w14:paraId="551D7F52" w14:textId="77777777" w:rsidR="00442DCB" w:rsidRPr="00E33044" w:rsidRDefault="00442DCB" w:rsidP="00442DC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eastAsia="Times New Roman" w:hAnsi="Times New Roman"/>
          <w:i/>
          <w:iCs/>
        </w:rPr>
      </w:pPr>
      <w:r>
        <w:rPr>
          <w:rFonts w:ascii="Times New Roman" w:hAnsi="Times New Roman"/>
        </w:rPr>
        <w:t xml:space="preserve">Kryteria wyboru projektów </w:t>
      </w:r>
      <w:r w:rsidRPr="00E33044">
        <w:rPr>
          <w:rFonts w:ascii="Times New Roman" w:hAnsi="Times New Roman"/>
        </w:rPr>
        <w:t xml:space="preserve">stanowią załącznik do niniejszej uchwały.   </w:t>
      </w:r>
    </w:p>
    <w:p w14:paraId="67AA60C7" w14:textId="77777777" w:rsidR="00442DCB" w:rsidRDefault="00442DCB" w:rsidP="00442DCB">
      <w:pPr>
        <w:pStyle w:val="Akapitzlist"/>
        <w:tabs>
          <w:tab w:val="left" w:pos="4253"/>
        </w:tabs>
        <w:spacing w:before="240"/>
        <w:rPr>
          <w:rFonts w:ascii="Times New Roman" w:hAnsi="Times New Roman"/>
          <w:b/>
          <w:bCs/>
        </w:rPr>
      </w:pPr>
      <w:r w:rsidRPr="007707E2">
        <w:rPr>
          <w:rFonts w:ascii="Times New Roman" w:hAnsi="Times New Roman"/>
          <w:b/>
          <w:bCs/>
        </w:rPr>
        <w:t xml:space="preserve">    </w:t>
      </w:r>
    </w:p>
    <w:p w14:paraId="0E4F9307" w14:textId="77777777" w:rsidR="00442DCB" w:rsidRDefault="00442DCB" w:rsidP="00442DCB">
      <w:pPr>
        <w:pStyle w:val="Akapitzlist"/>
        <w:tabs>
          <w:tab w:val="left" w:pos="4253"/>
        </w:tabs>
        <w:spacing w:before="240"/>
        <w:rPr>
          <w:rFonts w:ascii="Times New Roman" w:hAnsi="Times New Roman"/>
          <w:b/>
          <w:bCs/>
        </w:rPr>
      </w:pPr>
    </w:p>
    <w:p w14:paraId="1DC83A21" w14:textId="77777777" w:rsidR="00442DCB" w:rsidRPr="002F453A" w:rsidRDefault="00442DCB" w:rsidP="00442DCB">
      <w:pPr>
        <w:pStyle w:val="Akapitzlist"/>
        <w:tabs>
          <w:tab w:val="left" w:pos="4253"/>
        </w:tabs>
        <w:spacing w:before="240"/>
        <w:ind w:left="3540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r w:rsidRPr="007707E2">
        <w:rPr>
          <w:rFonts w:ascii="Times New Roman" w:hAnsi="Times New Roman"/>
          <w:b/>
          <w:bCs/>
        </w:rPr>
        <w:t>§ 2</w:t>
      </w:r>
    </w:p>
    <w:p w14:paraId="256ABB83" w14:textId="77777777" w:rsidR="00442DCB" w:rsidRPr="007707E2" w:rsidRDefault="00442DCB" w:rsidP="00442DCB">
      <w:pPr>
        <w:spacing w:before="240" w:after="120"/>
        <w:rPr>
          <w:rFonts w:ascii="Times New Roman" w:hAnsi="Times New Roman"/>
        </w:rPr>
      </w:pPr>
      <w:r w:rsidRPr="007707E2">
        <w:rPr>
          <w:rFonts w:ascii="Times New Roman" w:hAnsi="Times New Roman"/>
        </w:rPr>
        <w:t>Uchwała wchodzi w życie z dniem podjęcia.</w:t>
      </w:r>
    </w:p>
    <w:p w14:paraId="0AA85AEC" w14:textId="77777777" w:rsidR="00442DCB" w:rsidRPr="007707E2" w:rsidRDefault="00442DCB" w:rsidP="00442DCB">
      <w:pPr>
        <w:pStyle w:val="NormalnyWeb"/>
        <w:spacing w:before="240" w:beforeAutospacing="0" w:line="276" w:lineRule="auto"/>
        <w:ind w:right="127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Pr="007707E2">
        <w:rPr>
          <w:b/>
          <w:sz w:val="22"/>
          <w:szCs w:val="22"/>
        </w:rPr>
        <w:t xml:space="preserve">Przewodniczący </w:t>
      </w:r>
    </w:p>
    <w:p w14:paraId="77B4CA66" w14:textId="77777777" w:rsidR="00442DCB" w:rsidRDefault="00442DCB" w:rsidP="00442DCB">
      <w:pPr>
        <w:pStyle w:val="NormalnyWeb"/>
        <w:spacing w:before="240" w:beforeAutospacing="0" w:line="276" w:lineRule="auto"/>
        <w:jc w:val="both"/>
        <w:rPr>
          <w:b/>
          <w:sz w:val="22"/>
          <w:szCs w:val="22"/>
        </w:rPr>
      </w:pPr>
      <w:r w:rsidRPr="007707E2">
        <w:rPr>
          <w:b/>
          <w:sz w:val="22"/>
          <w:szCs w:val="22"/>
        </w:rPr>
        <w:t xml:space="preserve">                                                                                                    </w:t>
      </w:r>
      <w:r>
        <w:rPr>
          <w:b/>
          <w:sz w:val="22"/>
          <w:szCs w:val="22"/>
        </w:rPr>
        <w:t xml:space="preserve">   </w:t>
      </w:r>
      <w:r w:rsidRPr="007707E2">
        <w:rPr>
          <w:b/>
          <w:sz w:val="22"/>
          <w:szCs w:val="22"/>
        </w:rPr>
        <w:t xml:space="preserve">KM  </w:t>
      </w:r>
      <w:r>
        <w:rPr>
          <w:b/>
          <w:sz w:val="22"/>
          <w:szCs w:val="22"/>
        </w:rPr>
        <w:t>FE SL 2021-2027</w:t>
      </w:r>
      <w:r w:rsidRPr="007707E2">
        <w:rPr>
          <w:b/>
          <w:sz w:val="22"/>
          <w:szCs w:val="22"/>
        </w:rPr>
        <w:tab/>
      </w:r>
      <w:r w:rsidRPr="007707E2">
        <w:rPr>
          <w:b/>
          <w:sz w:val="22"/>
          <w:szCs w:val="22"/>
        </w:rPr>
        <w:tab/>
      </w:r>
      <w:r w:rsidRPr="007707E2">
        <w:rPr>
          <w:b/>
          <w:sz w:val="22"/>
          <w:szCs w:val="22"/>
        </w:rPr>
        <w:tab/>
      </w:r>
      <w:r w:rsidRPr="007707E2">
        <w:rPr>
          <w:b/>
          <w:sz w:val="22"/>
          <w:szCs w:val="22"/>
        </w:rPr>
        <w:tab/>
      </w:r>
      <w:r w:rsidRPr="007707E2">
        <w:rPr>
          <w:b/>
          <w:sz w:val="22"/>
          <w:szCs w:val="22"/>
        </w:rPr>
        <w:tab/>
      </w:r>
      <w:r w:rsidRPr="007707E2">
        <w:rPr>
          <w:b/>
          <w:sz w:val="22"/>
          <w:szCs w:val="22"/>
        </w:rPr>
        <w:tab/>
      </w:r>
    </w:p>
    <w:p w14:paraId="6DC5B3DF" w14:textId="77777777" w:rsidR="00442DCB" w:rsidRPr="00CB4EC3" w:rsidRDefault="00442DCB" w:rsidP="00442DCB">
      <w:pPr>
        <w:pStyle w:val="NormalnyWeb"/>
        <w:keepNext/>
        <w:spacing w:before="240" w:beforeAutospacing="0" w:line="276" w:lineRule="auto"/>
        <w:ind w:left="4956" w:firstLine="708"/>
        <w:jc w:val="both"/>
        <w:rPr>
          <w:rFonts w:ascii="Calibri" w:hAnsi="Calibri"/>
          <w:b/>
          <w:bCs/>
          <w:sz w:val="22"/>
          <w:szCs w:val="22"/>
        </w:rPr>
        <w:sectPr w:rsidR="00442DCB" w:rsidRPr="00CB4EC3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58C7F40C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>Jakub Chełstowski</w:t>
      </w:r>
    </w:p>
    <w:bookmarkEnd w:id="0"/>
    <w:p w14:paraId="73E0964C" w14:textId="26AFFF6A" w:rsidR="00134924" w:rsidRPr="00134924" w:rsidRDefault="00134924" w:rsidP="00134924">
      <w:pPr>
        <w:pStyle w:val="Nagwek2"/>
        <w:spacing w:after="240"/>
        <w:rPr>
          <w:color w:val="auto"/>
          <w:szCs w:val="32"/>
        </w:rPr>
      </w:pPr>
      <w:r w:rsidRPr="00134924">
        <w:rPr>
          <w:color w:val="auto"/>
          <w:szCs w:val="32"/>
        </w:rPr>
        <w:lastRenderedPageBreak/>
        <w:t>Kryteria wyboru projektów FE SL 2021-2027 Działanie 10.03 Wsparcie MŚP na rzecz transformacji</w:t>
      </w:r>
    </w:p>
    <w:p w14:paraId="09F2E26A" w14:textId="77777777" w:rsidR="00134924" w:rsidRPr="00134924" w:rsidRDefault="00134924" w:rsidP="00134924">
      <w:pPr>
        <w:pStyle w:val="Nagwek2"/>
        <w:spacing w:after="240"/>
        <w:rPr>
          <w:color w:val="auto"/>
          <w:szCs w:val="32"/>
        </w:rPr>
      </w:pPr>
      <w:r w:rsidRPr="00134924">
        <w:rPr>
          <w:color w:val="auto"/>
          <w:szCs w:val="32"/>
        </w:rPr>
        <w:t>Typ projektu : Mikroinwestycje w MŚP</w:t>
      </w:r>
    </w:p>
    <w:p w14:paraId="45E4B946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Klasyfikacja kryteriów wyboru projektów</w:t>
      </w:r>
    </w:p>
    <w:p w14:paraId="72A4982E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W ramach działań FE SL 2021-2027 wdrażanych przez Śląskie Centrum Przedsiębiorczości stosowane są następujące podstawowe rodzaje kryteriów dokonywania wyboru projektów:</w:t>
      </w:r>
    </w:p>
    <w:p w14:paraId="2F6F102D" w14:textId="77777777" w:rsidR="00134924" w:rsidRPr="00134924" w:rsidRDefault="00134924" w:rsidP="00134924">
      <w:pPr>
        <w:pStyle w:val="Nagwek2"/>
        <w:numPr>
          <w:ilvl w:val="0"/>
          <w:numId w:val="20"/>
        </w:numPr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Formalne :</w:t>
      </w:r>
    </w:p>
    <w:p w14:paraId="52CC64BD" w14:textId="77777777" w:rsidR="00134924" w:rsidRPr="00134924" w:rsidRDefault="00134924" w:rsidP="00134924">
      <w:pPr>
        <w:pStyle w:val="Nagwek2"/>
        <w:numPr>
          <w:ilvl w:val="1"/>
          <w:numId w:val="22"/>
        </w:numPr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zero-jedynkowe niepodlegające uzupełnieniom;</w:t>
      </w:r>
    </w:p>
    <w:p w14:paraId="06419110" w14:textId="77777777" w:rsidR="00134924" w:rsidRPr="00134924" w:rsidRDefault="00134924" w:rsidP="00134924">
      <w:pPr>
        <w:pStyle w:val="Nagwek2"/>
        <w:numPr>
          <w:ilvl w:val="1"/>
          <w:numId w:val="22"/>
        </w:numPr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 xml:space="preserve">zero-jedynkowe podlegające uzupełnieniom. </w:t>
      </w:r>
    </w:p>
    <w:p w14:paraId="1C66C398" w14:textId="77777777" w:rsidR="00134924" w:rsidRPr="00134924" w:rsidRDefault="00134924" w:rsidP="00134924">
      <w:pPr>
        <w:pStyle w:val="Nagwek2"/>
        <w:numPr>
          <w:ilvl w:val="0"/>
          <w:numId w:val="20"/>
        </w:numPr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Merytoryczne:</w:t>
      </w:r>
    </w:p>
    <w:p w14:paraId="2D6A5B36" w14:textId="77777777" w:rsidR="00134924" w:rsidRPr="00134924" w:rsidRDefault="00134924" w:rsidP="00134924">
      <w:pPr>
        <w:pStyle w:val="Nagwek2"/>
        <w:numPr>
          <w:ilvl w:val="1"/>
          <w:numId w:val="23"/>
        </w:numPr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kryteria zero-jedynkowe, których spełnienie jest warunkiem dalszej oceny projektu;</w:t>
      </w:r>
    </w:p>
    <w:p w14:paraId="6439FAE9" w14:textId="77777777" w:rsidR="00134924" w:rsidRPr="00134924" w:rsidRDefault="00134924" w:rsidP="00134924">
      <w:pPr>
        <w:pStyle w:val="Nagwek2"/>
        <w:numPr>
          <w:ilvl w:val="1"/>
          <w:numId w:val="23"/>
        </w:numPr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punktowane w zależności od stopnia ich spełnienia.</w:t>
      </w:r>
    </w:p>
    <w:p w14:paraId="1F5BA3C0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W przypadku, gdy kilka projektów uzyska tę samą liczbę punktów kwalifikującą projekt do wsparcia, a wartość alokacji przeznaczonej na dany konkurs nie pozwala na zatwierdzenie do dofinansowania wszystkich projektów, o wyborze projektu do dofinansowania decydują kryteria rozstrzygające.</w:t>
      </w:r>
    </w:p>
    <w:p w14:paraId="19A5ADD5" w14:textId="77777777" w:rsidR="00134924" w:rsidRPr="00134924" w:rsidRDefault="00134924" w:rsidP="00134924">
      <w:pPr>
        <w:pStyle w:val="Nagwek2"/>
        <w:rPr>
          <w:color w:val="auto"/>
          <w:szCs w:val="32"/>
          <w:u w:val="single"/>
        </w:rPr>
      </w:pPr>
      <w:r w:rsidRPr="00134924">
        <w:rPr>
          <w:color w:val="auto"/>
          <w:szCs w:val="32"/>
          <w:u w:val="single"/>
        </w:rPr>
        <w:t>Kryteria formalne</w:t>
      </w:r>
    </w:p>
    <w:p w14:paraId="040A76E2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 xml:space="preserve">Ocena spełnienia kryteriów formalnych przeprowadzana jest w oparciu o zatwierdzone przez Komitet Monitorujący kryteria formalne, służące weryfikacji zgodności wniosku z zapisami rozporządzeń unijnych oraz krajowych (w tym m.in. Rozporządzenia Komisji (UE) nr 651/2014 z dnia 17 czerwca 2014r. z późn. zm. zwanym w niniejszych kryteriach Rozporządzeniem 651/2014; Rozporządzenia Parlamentu Europejskiego i Rady (UE) 2021/1056 z dnia 24 czerwca 2021 r. ustanawiające Fundusz na rzecz Sprawiedliwej Transformacji), a także w odniesieniu do programu Fundusze Europejskie dla Śląskiego 2021-2027, Szczegółowego Opisu Priorytetów Funduszy Europejskich dla Śląskiego 2021-2027 obowiązującego na moment zatwierdzenia pakietu aplikacyjnego. </w:t>
      </w:r>
    </w:p>
    <w:p w14:paraId="207F7FEA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lastRenderedPageBreak/>
        <w:t>Oceny dokonują pracownicy Śląskiego Centrum Przedsiębiorczości – IP FE SL – ŚCP, będący członkami Komisji Oceny Projektów.</w:t>
      </w:r>
    </w:p>
    <w:p w14:paraId="565AF63E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7AA5983D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</w:p>
    <w:p w14:paraId="3DCE55B2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 xml:space="preserve">Niespełnienie kryterium Wypełnienie wniosku  skutkuje negatywną oceną formalną bez konieczności weryfikacji pozostałych kryteriów formalnych. </w:t>
      </w:r>
    </w:p>
    <w:p w14:paraId="2FBA591E" w14:textId="77777777" w:rsidR="00134924" w:rsidRPr="00134924" w:rsidRDefault="00134924" w:rsidP="00134924">
      <w:pPr>
        <w:pStyle w:val="Nagwek2"/>
        <w:spacing w:after="240"/>
        <w:rPr>
          <w:b w:val="0"/>
          <w:bCs/>
          <w:color w:val="auto"/>
          <w:szCs w:val="32"/>
        </w:rPr>
      </w:pPr>
      <w:r w:rsidRPr="00134924">
        <w:rPr>
          <w:b w:val="0"/>
          <w:bCs/>
          <w:color w:val="auto"/>
          <w:szCs w:val="32"/>
        </w:rPr>
        <w:t>Wynik oceny spełnienia kryteriów formalnych zamieszczany jest na karcie oceny formalnej projektu.</w:t>
      </w:r>
    </w:p>
    <w:p w14:paraId="690CA85A" w14:textId="77777777" w:rsidR="00A000A2" w:rsidRPr="001B4B8C" w:rsidRDefault="00A000A2" w:rsidP="004D434A">
      <w:pPr>
        <w:pStyle w:val="Nagwek2"/>
      </w:pPr>
      <w:r w:rsidRPr="001B4B8C">
        <w:t xml:space="preserve">Tabela </w:t>
      </w:r>
      <w:r w:rsidR="001766FD">
        <w:fldChar w:fldCharType="begin"/>
      </w:r>
      <w:r w:rsidR="001766FD">
        <w:instrText xml:space="preserve"> SEQ Tabela \* ARABIC </w:instrText>
      </w:r>
      <w:r w:rsidR="001766FD">
        <w:fldChar w:fldCharType="separate"/>
      </w:r>
      <w:r w:rsidRPr="001B4B8C">
        <w:rPr>
          <w:noProof/>
        </w:rPr>
        <w:t>1</w:t>
      </w:r>
      <w:r w:rsidR="001766FD">
        <w:rPr>
          <w:noProof/>
        </w:rPr>
        <w:fldChar w:fldCharType="end"/>
      </w:r>
      <w:r w:rsidRPr="001B4B8C"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05"/>
        <w:gridCol w:w="2600"/>
        <w:gridCol w:w="4199"/>
        <w:gridCol w:w="2360"/>
        <w:gridCol w:w="2355"/>
        <w:gridCol w:w="2352"/>
      </w:tblGrid>
      <w:tr w:rsidR="00A000A2" w:rsidRPr="001B4B8C" w14:paraId="07E03567" w14:textId="77777777" w:rsidTr="004D434A">
        <w:trPr>
          <w:tblHeader/>
        </w:trPr>
        <w:tc>
          <w:tcPr>
            <w:tcW w:w="605" w:type="dxa"/>
            <w:shd w:val="clear" w:color="auto" w:fill="BFBFBF" w:themeFill="background1" w:themeFillShade="BF"/>
          </w:tcPr>
          <w:p w14:paraId="25A38580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BFBFBF" w:themeFill="background1" w:themeFillShade="BF"/>
          </w:tcPr>
          <w:p w14:paraId="0D453C3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99" w:type="dxa"/>
            <w:shd w:val="clear" w:color="auto" w:fill="BFBFBF" w:themeFill="background1" w:themeFillShade="BF"/>
          </w:tcPr>
          <w:p w14:paraId="34230296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E2705B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BFBFBF" w:themeFill="background1" w:themeFillShade="BF"/>
          </w:tcPr>
          <w:p w14:paraId="7A13136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55" w:type="dxa"/>
            <w:shd w:val="clear" w:color="auto" w:fill="BFBFBF" w:themeFill="background1" w:themeFillShade="BF"/>
          </w:tcPr>
          <w:p w14:paraId="48DCFD3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52" w:type="dxa"/>
            <w:shd w:val="clear" w:color="auto" w:fill="BFBFBF" w:themeFill="background1" w:themeFillShade="BF"/>
          </w:tcPr>
          <w:p w14:paraId="60E9E41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2" w:name="_Hlk125464591"/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2"/>
          </w:p>
        </w:tc>
      </w:tr>
      <w:tr w:rsidR="00134924" w:rsidRPr="001B4B8C" w14:paraId="3AF3B55D" w14:textId="77777777" w:rsidTr="00F42AD2">
        <w:tc>
          <w:tcPr>
            <w:tcW w:w="605" w:type="dxa"/>
          </w:tcPr>
          <w:p w14:paraId="3F6D6B3D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63B7CD30" w14:textId="0D1A579E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Wypełnienie wniosku </w:t>
            </w:r>
          </w:p>
        </w:tc>
        <w:tc>
          <w:tcPr>
            <w:tcW w:w="4199" w:type="dxa"/>
          </w:tcPr>
          <w:p w14:paraId="469FFA9A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Weryfikacji podlega czy Wnioskodawca wypełnił wszystkie wymagane punkty wniosku aplikacyjnego. Treść w poszczególnych punktach musi być adekwatna przez co rozumie się, że informacje wskazane w punktach muszą 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być spójne z tematem tych punktów wynikającym z zapisów instrukcji wypełniania i składania wniosku o dofinansowanie.</w:t>
            </w:r>
          </w:p>
          <w:p w14:paraId="025DB440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Kryterium nie zostanie spełnione jeżeli jakiekolwiek obligatoryjne do wypełnienia punkty wniosku (zgodnie z Instrukcją wypełniania i składania wniosku o dofinansowanie) nie zostaną wypełnione lub zostaną wypełnione nieczytelnymi znakami graficznymi bądź treścią nieadekwatną dla danego punktu. </w:t>
            </w:r>
          </w:p>
          <w:p w14:paraId="2CC938D7" w14:textId="5FD8A79B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Kryterium obowiązuje na etapie aplikowania. </w:t>
            </w:r>
          </w:p>
        </w:tc>
        <w:tc>
          <w:tcPr>
            <w:tcW w:w="2360" w:type="dxa"/>
          </w:tcPr>
          <w:p w14:paraId="15A2D389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299DA4E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niepodlegające uzupełnieniom.</w:t>
            </w:r>
          </w:p>
          <w:p w14:paraId="2B3D3CA8" w14:textId="32112B3B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358AA45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674CC7A1" w14:textId="392DEE06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07935A16" w14:textId="7B88DAED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5E58B1BA" w14:textId="77777777" w:rsidTr="00F42AD2">
        <w:trPr>
          <w:tblHeader/>
        </w:trPr>
        <w:tc>
          <w:tcPr>
            <w:tcW w:w="605" w:type="dxa"/>
          </w:tcPr>
          <w:p w14:paraId="3281938B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3005FE69" w14:textId="4C43A956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4199" w:type="dxa"/>
          </w:tcPr>
          <w:p w14:paraId="5AC4302B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34924">
              <w:rPr>
                <w:rFonts w:cstheme="minorHAnsi"/>
                <w:sz w:val="24"/>
                <w:szCs w:val="24"/>
                <w:lang w:eastAsia="pl-PL"/>
              </w:rPr>
              <w:t>Weryfikacji podlega:</w:t>
            </w:r>
          </w:p>
          <w:p w14:paraId="3378B8FD" w14:textId="77777777" w:rsidR="00134924" w:rsidRPr="00134924" w:rsidRDefault="00134924" w:rsidP="00134924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134924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śląskiego, w jednym z podregionów objętych procesem transformacji, wskazanych w program</w:t>
            </w:r>
            <w:r w:rsidRPr="00134924">
              <w:rPr>
                <w:rFonts w:cstheme="minorHAnsi"/>
                <w:sz w:val="24"/>
                <w:szCs w:val="24"/>
                <w:lang w:eastAsia="pl-PL"/>
              </w:rPr>
              <w:t>ie</w:t>
            </w:r>
            <w:r w:rsidRPr="00134924">
              <w:rPr>
                <w:rFonts w:cstheme="minorHAnsi"/>
                <w:sz w:val="24"/>
                <w:szCs w:val="24"/>
                <w:lang w:val="x-none" w:eastAsia="pl-PL"/>
              </w:rPr>
              <w:t xml:space="preserve"> FE SL 2021-2027</w:t>
            </w:r>
            <w:r w:rsidRPr="00134924" w:rsidDel="00BD7783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134924">
              <w:rPr>
                <w:rFonts w:cstheme="minorHAnsi"/>
                <w:sz w:val="24"/>
                <w:szCs w:val="24"/>
                <w:lang w:val="x-none" w:eastAsia="pl-PL"/>
              </w:rPr>
              <w:t xml:space="preserve">(w podregionie katowickim, bielskim, tyskim, rybnickim, gliwickim, bytomskim </w:t>
            </w:r>
            <w:r w:rsidRPr="00134924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134924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sosnowieckim)</w:t>
            </w:r>
            <w:r w:rsidRPr="00134924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134924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395D93CF" w14:textId="77777777" w:rsidR="00134924" w:rsidRPr="00134924" w:rsidRDefault="00134924" w:rsidP="00134924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134924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134924">
              <w:rPr>
                <w:rFonts w:cstheme="minorHAnsi"/>
                <w:sz w:val="24"/>
                <w:szCs w:val="24"/>
                <w:lang w:val="x-none" w:eastAsia="pl-PL"/>
              </w:rPr>
              <w:t>przedmiot projektu nie dotyczy rodzajów działalności wykluczonych z możliwości uzyskania wsparcia</w:t>
            </w:r>
            <w:r w:rsidRPr="00134924"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55FC3421" w14:textId="77777777" w:rsidR="00134924" w:rsidRPr="00134924" w:rsidRDefault="00134924" w:rsidP="00134924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134924">
              <w:rPr>
                <w:rFonts w:cstheme="minorHAnsi"/>
                <w:sz w:val="24"/>
                <w:szCs w:val="24"/>
                <w:lang w:eastAsia="pl-PL"/>
              </w:rPr>
              <w:t>czy projekt nie został rozpoczęty przed ogłoszeniem naboru.</w:t>
            </w:r>
          </w:p>
          <w:p w14:paraId="6A21F627" w14:textId="4768BE3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  <w:lang w:eastAsia="pl-PL"/>
              </w:rPr>
              <w:lastRenderedPageBreak/>
              <w:t>Kryterium obowiązuje od momentu aplikowania do momentu podpisania umowy.</w:t>
            </w:r>
          </w:p>
        </w:tc>
        <w:tc>
          <w:tcPr>
            <w:tcW w:w="2360" w:type="dxa"/>
          </w:tcPr>
          <w:p w14:paraId="185610DC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8D18956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99E8024" w14:textId="598E71AC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48ABAD9F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52D84A04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4E9C543E" w14:textId="7D309A4E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70C58948" w14:textId="77777777" w:rsidTr="00F42AD2">
        <w:trPr>
          <w:tblHeader/>
        </w:trPr>
        <w:tc>
          <w:tcPr>
            <w:tcW w:w="605" w:type="dxa"/>
          </w:tcPr>
          <w:p w14:paraId="0BA7194B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24821B3A" w14:textId="4C9C919B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Kwalifikowalność podmiotowa wnioskodawcy</w:t>
            </w:r>
          </w:p>
        </w:tc>
        <w:tc>
          <w:tcPr>
            <w:tcW w:w="4199" w:type="dxa"/>
          </w:tcPr>
          <w:p w14:paraId="2D8AB71C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3D9F71CF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czy Wnioskodawca nie podlega wykluczeniu z ubiegania się o dofinansowanie na podstawie: </w:t>
            </w:r>
          </w:p>
          <w:p w14:paraId="28DDD45D" w14:textId="77777777" w:rsidR="00134924" w:rsidRPr="00134924" w:rsidRDefault="00134924" w:rsidP="00134924">
            <w:pPr>
              <w:numPr>
                <w:ilvl w:val="0"/>
                <w:numId w:val="2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art. 12 ust. 1 pkt 1 ustawy z dnia 15 czerwca 2012 r. o skutkach powierzania wykonywania pracy cudzoziemcom przebywającym wbrew przepisom na terytorium Rzeczypospolitej Polskiej (Dz. U. poz. 769);</w:t>
            </w:r>
          </w:p>
          <w:p w14:paraId="6128B62C" w14:textId="77777777" w:rsidR="00134924" w:rsidRPr="00134924" w:rsidRDefault="00134924" w:rsidP="00134924">
            <w:pPr>
              <w:numPr>
                <w:ilvl w:val="0"/>
                <w:numId w:val="2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art. 9 ust. 1 pkt 2a ustawy z dnia 28 października 2002 r. o odpowiedzialności podmiotów zbiorowych za czyny zabronione pod groźbą kary (Dz. U. 2012 r. poz. 768 z późn. zm.);</w:t>
            </w:r>
          </w:p>
          <w:p w14:paraId="71E18D46" w14:textId="77777777" w:rsidR="00134924" w:rsidRPr="00134924" w:rsidRDefault="00134924" w:rsidP="00134924">
            <w:pPr>
              <w:numPr>
                <w:ilvl w:val="0"/>
                <w:numId w:val="2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art. 9 rozporządzenia Parlamentu Europejskiego i Rady (UE) 2021/1056 z dnia 24 czerwca 2021 r. ustanawiającego Fundusz na rzecz Sprawiedliwej Transformacji; </w:t>
            </w:r>
          </w:p>
          <w:p w14:paraId="74F5A7B8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Weryfikacja w tym zakresie nastąpi w oparciu o złożone we wniosku oświadczenia Wnioskodawcy;</w:t>
            </w:r>
          </w:p>
          <w:p w14:paraId="0F303043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czy przedsiębiorstwo posiada status 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>MŚP</w:t>
            </w: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zgodnie z </w:t>
            </w: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Załącznikiem I do Rozporządzenia 651/2014.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6B83BE7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Weryfikacja statusu Wnioskodawcy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 na moment złożenia wniosku</w:t>
            </w: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przeprowadzana jest w oparciu  o  deklaratywnie wskazane informacje w części A wniosku.</w:t>
            </w:r>
          </w:p>
          <w:p w14:paraId="24DEE449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Weryfikacja statusu nastąpi przed podpisaniem umowy o dofinansowanie w oparciu o pozyskane informacje (w tym dostarczone przez Wnioskodawcę dokumenty). Pomoc nie może zostać udzielona przedsiębiorstwom ze statusem innym niż MŚP. </w:t>
            </w:r>
          </w:p>
          <w:p w14:paraId="6F5E3820" w14:textId="15E8966B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16DF4ECE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FDEF6B4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5DB4CA5" w14:textId="77AAFDE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75DB6EB1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4918157B" w14:textId="5BB9A1A1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3BFCEAB9" w14:textId="7E326C2A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432E35B6" w14:textId="77777777" w:rsidTr="00F42AD2">
        <w:trPr>
          <w:tblHeader/>
        </w:trPr>
        <w:tc>
          <w:tcPr>
            <w:tcW w:w="605" w:type="dxa"/>
          </w:tcPr>
          <w:p w14:paraId="65307355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499434DF" w14:textId="6F6C8ECD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Wnioskodawca NIE jest jednostką samorządu terytorialnego (lub podmiotem przez nią kontrolowanym lub od niej zależnym), która podjęła jakiekolwiek działania dyskryminujące, sprzeczne z zasadami, o których mowa w art. 9 ust. 3 rozporządzenia nr 2021/1060</w:t>
            </w:r>
          </w:p>
        </w:tc>
        <w:tc>
          <w:tcPr>
            <w:tcW w:w="4199" w:type="dxa"/>
          </w:tcPr>
          <w:p w14:paraId="32AF3EF1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Wsparcie polityki spójności będzie udzielane wyłącznie projektom i 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44ED515F" w14:textId="080E6FC2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34924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60" w:type="dxa"/>
          </w:tcPr>
          <w:p w14:paraId="2CE20E8A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Tak</w:t>
            </w:r>
          </w:p>
          <w:p w14:paraId="77548C49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371A2FC0" w14:textId="0196C9A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10C2CC56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4F2127E8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4604DA0E" w14:textId="1C25A95B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73A23EC4" w14:textId="77777777" w:rsidTr="00F42AD2">
        <w:trPr>
          <w:tblHeader/>
        </w:trPr>
        <w:tc>
          <w:tcPr>
            <w:tcW w:w="605" w:type="dxa"/>
          </w:tcPr>
          <w:p w14:paraId="5ECF4CCD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51C22B77" w14:textId="6BDECA2E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Wnioskowana kwota, wartość procentowa wsparcia oraz wartość wydatków kwalifikowalnych nie przekraczają określonych dla naboru limitów </w:t>
            </w:r>
          </w:p>
        </w:tc>
        <w:tc>
          <w:tcPr>
            <w:tcW w:w="4199" w:type="dxa"/>
          </w:tcPr>
          <w:p w14:paraId="5CFF3F28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 w:themeColor="text1"/>
                <w:sz w:val="24"/>
                <w:szCs w:val="24"/>
              </w:rPr>
              <w:t>Weryfikacji podlega, czy Wnioskodawca właściwie wyliczył procent oraz wskazał kwotę wsparcia a także wartość ogółem projektu z uwzględnieniem poniższych limitów:</w:t>
            </w:r>
          </w:p>
          <w:p w14:paraId="4726CE1A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- dla projektów realizowanych przez mikro i małe przedsiębiorstwa maksymalny procent dofinansowania wynosi 60% kosztów kwalifikowalnych,</w:t>
            </w:r>
          </w:p>
          <w:p w14:paraId="36BD9CDA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średnie przedsiębiorstwa maksymalny procent dofinansowania wynosi 50% kosztów kwalifikowalnych, </w:t>
            </w:r>
          </w:p>
          <w:p w14:paraId="23373622" w14:textId="77777777" w:rsidR="00134924" w:rsidRPr="00134924" w:rsidRDefault="00134924" w:rsidP="0013492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- minimalna wartość dofinansowania  projektu wynosi 500 000,00 PLN,</w:t>
            </w:r>
          </w:p>
          <w:p w14:paraId="18246F26" w14:textId="77777777" w:rsidR="00134924" w:rsidRPr="00134924" w:rsidRDefault="00134924" w:rsidP="0013492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- maksymalna wartość ogółem projektu wynosi 2 000 000 PLN.</w:t>
            </w:r>
          </w:p>
          <w:p w14:paraId="4ED4FEE4" w14:textId="48C8D281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2360" w:type="dxa"/>
          </w:tcPr>
          <w:p w14:paraId="5B408690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5772B23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86B8343" w14:textId="57BEBBF9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4B3E2CA1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7F9782F8" w14:textId="7E969DA3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728857EE" w14:textId="2B42E8EB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2EBF8593" w14:textId="77777777" w:rsidTr="00F42AD2">
        <w:trPr>
          <w:tblHeader/>
        </w:trPr>
        <w:tc>
          <w:tcPr>
            <w:tcW w:w="605" w:type="dxa"/>
          </w:tcPr>
          <w:p w14:paraId="324EE867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00BFDF08" w14:textId="40EE3D56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Poprawność wypełnienia wniosku oraz spójność zapisów</w:t>
            </w:r>
          </w:p>
        </w:tc>
        <w:tc>
          <w:tcPr>
            <w:tcW w:w="4199" w:type="dxa"/>
          </w:tcPr>
          <w:p w14:paraId="0EB3EE67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27CD96F3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15249E3B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czy wszystkie pola we wniosku o dofinansowanie zostały wypełnione zgodnie z  Instrukcją wypełniania i składania wniosku o dofinansowanie;</w:t>
            </w:r>
          </w:p>
          <w:p w14:paraId="38D6E885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sposób czytelny i zrozumiały, w szczególności czy nie zastosowano nieprzyjętych 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powszechnie skrótów, wykropkowanych miejsc, informacji niezwiązanych z tematem projektu/danego pola lub punktu.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27A2FACD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czy termin realizacji projektu jest zgodny z założeniami zawartymi w SZOP FE SL 2021-2027;</w:t>
            </w:r>
          </w:p>
          <w:p w14:paraId="327C6510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 uzasadnienie wartości, częstotliwość pomiaru wskaźników oraz czy wybrano prawidłowe narzędzia pomiarów wskaźników;</w:t>
            </w:r>
          </w:p>
          <w:p w14:paraId="693DE170" w14:textId="77777777" w:rsidR="00134924" w:rsidRPr="00134924" w:rsidRDefault="00134924" w:rsidP="00134924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738FD628" w14:textId="05FE8299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2360" w:type="dxa"/>
          </w:tcPr>
          <w:p w14:paraId="0FE4D332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886CDB3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468E3022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24811656" w14:textId="523F6B36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7D9559A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93B2A68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7DD6A687" w14:textId="47B5D933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6B7A5E80" w14:textId="77777777" w:rsidTr="00F42AD2">
        <w:trPr>
          <w:tblHeader/>
        </w:trPr>
        <w:tc>
          <w:tcPr>
            <w:tcW w:w="605" w:type="dxa"/>
          </w:tcPr>
          <w:p w14:paraId="04742E0D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78174D6F" w14:textId="265A54B8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4199" w:type="dxa"/>
          </w:tcPr>
          <w:p w14:paraId="7270CC7D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Weryfikacji podlega, czy:</w:t>
            </w:r>
          </w:p>
          <w:p w14:paraId="6C61D9B5" w14:textId="77777777" w:rsidR="00134924" w:rsidRPr="00134924" w:rsidRDefault="00134924" w:rsidP="00134924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Wnioskodawca załączył wszystkie obligatoryjne na etapie aplikowania załączniki;</w:t>
            </w:r>
          </w:p>
          <w:p w14:paraId="00E9F02A" w14:textId="77777777" w:rsidR="00134924" w:rsidRPr="00134924" w:rsidRDefault="00134924" w:rsidP="00134924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dołączone do wniosku załączniki są prawidłowo sporządzone, aktualne i wydane przez upoważniony organ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 (jeśli dotyczy)</w:t>
            </w: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,  a ich zapisy są spójne z zapisami wniosku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1CF697DB" w14:textId="29AF350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obowiązuje</w:t>
            </w: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od momentu aplikowania do momentu podpisania umowy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0" w:type="dxa"/>
          </w:tcPr>
          <w:p w14:paraId="4192291B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F3FD4CD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0D9B27C" w14:textId="6ED3927D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45A7B354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  <w:p w14:paraId="6BDDEC57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3BC0B8B2" w14:textId="4D978956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045145A7" w14:textId="77777777" w:rsidTr="00F42AD2">
        <w:trPr>
          <w:tblHeader/>
        </w:trPr>
        <w:tc>
          <w:tcPr>
            <w:tcW w:w="605" w:type="dxa"/>
          </w:tcPr>
          <w:p w14:paraId="50884C89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17ECFD50" w14:textId="497C90B1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Kwalifikowalność wydatków zaplanowanych w projekcie</w:t>
            </w:r>
          </w:p>
        </w:tc>
        <w:tc>
          <w:tcPr>
            <w:tcW w:w="4199" w:type="dxa"/>
          </w:tcPr>
          <w:p w14:paraId="37D5114A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04051B1A" w14:textId="77777777" w:rsidR="00134924" w:rsidRPr="00134924" w:rsidRDefault="00134924" w:rsidP="00134924">
            <w:pPr>
              <w:numPr>
                <w:ilvl w:val="0"/>
                <w:numId w:val="12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sz w:val="24"/>
                <w:szCs w:val="24"/>
                <w:lang w:val="x-none"/>
              </w:rPr>
              <w:t xml:space="preserve">czy wydatki planowane do współfinansowania </w:t>
            </w:r>
            <w:r w:rsidRPr="00134924">
              <w:rPr>
                <w:rFonts w:cstheme="minorHAnsi"/>
                <w:sz w:val="24"/>
                <w:szCs w:val="24"/>
              </w:rPr>
              <w:t>wskazane w ramach kwot ryczałtowych</w:t>
            </w:r>
            <w:r w:rsidRPr="00134924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Pr="00134924">
              <w:rPr>
                <w:rFonts w:cstheme="minorHAnsi"/>
                <w:sz w:val="24"/>
                <w:szCs w:val="24"/>
              </w:rPr>
              <w:t xml:space="preserve"> </w:t>
            </w:r>
            <w:r w:rsidRPr="00134924">
              <w:rPr>
                <w:rFonts w:cstheme="minorHAnsi"/>
                <w:sz w:val="24"/>
                <w:szCs w:val="24"/>
                <w:lang w:val="x-none"/>
              </w:rPr>
              <w:t xml:space="preserve">są wydatkami kwalifikowalnymi zgodnie z  zapisami Wytycznych </w:t>
            </w:r>
            <w:r w:rsidRPr="00134924">
              <w:rPr>
                <w:rFonts w:cstheme="minorHAnsi"/>
                <w:sz w:val="24"/>
                <w:szCs w:val="24"/>
              </w:rPr>
              <w:t>dotyczących</w:t>
            </w:r>
            <w:r w:rsidRPr="00134924">
              <w:rPr>
                <w:rFonts w:cstheme="minorHAnsi"/>
                <w:sz w:val="24"/>
                <w:szCs w:val="24"/>
                <w:lang w:val="x-none"/>
              </w:rPr>
              <w:t xml:space="preserve"> kwalifikowalności wydatków na lata 2021-2027, zapisami SZOP FE SL 2021-2027 oraz Regulaminem wyboru projektów</w:t>
            </w:r>
            <w:r w:rsidRPr="00134924">
              <w:rPr>
                <w:rFonts w:cstheme="minorHAnsi"/>
                <w:sz w:val="24"/>
                <w:szCs w:val="24"/>
              </w:rPr>
              <w:t>;</w:t>
            </w:r>
          </w:p>
          <w:p w14:paraId="52ED7868" w14:textId="77777777" w:rsidR="00134924" w:rsidRPr="00134924" w:rsidRDefault="00134924" w:rsidP="00134924">
            <w:pPr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sz w:val="24"/>
                <w:szCs w:val="24"/>
                <w:lang w:val="x-none"/>
              </w:rPr>
              <w:lastRenderedPageBreak/>
              <w:t>czy wydatki</w:t>
            </w:r>
            <w:r w:rsidRPr="00134924">
              <w:rPr>
                <w:rFonts w:cstheme="minorHAnsi"/>
                <w:sz w:val="24"/>
                <w:szCs w:val="24"/>
              </w:rPr>
              <w:t xml:space="preserve"> kwalifikowalne wskazane w ramach kwot ryczałtowych</w:t>
            </w:r>
            <w:r w:rsidRPr="00134924">
              <w:rPr>
                <w:rFonts w:cstheme="minorHAnsi"/>
                <w:sz w:val="24"/>
                <w:szCs w:val="24"/>
                <w:lang w:val="x-none"/>
              </w:rPr>
              <w:t xml:space="preserve"> mieszczą się w limitach określonych w Regulaminie wyboru projektów</w:t>
            </w:r>
            <w:r w:rsidRPr="00134924">
              <w:rPr>
                <w:rFonts w:cstheme="minorHAnsi"/>
                <w:sz w:val="24"/>
                <w:szCs w:val="24"/>
              </w:rPr>
              <w:t>.</w:t>
            </w:r>
          </w:p>
          <w:p w14:paraId="56B6ACB1" w14:textId="7B30FDF4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7B198FE4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EB20F6C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6408F3F" w14:textId="300663CC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również do </w:t>
            </w:r>
            <w:r w:rsidRPr="00134924">
              <w:rPr>
                <w:rFonts w:cstheme="minorHAnsi"/>
                <w:sz w:val="24"/>
                <w:szCs w:val="24"/>
              </w:rPr>
              <w:lastRenderedPageBreak/>
              <w:t>uzupełnienia lub poprawy projektu.</w:t>
            </w:r>
          </w:p>
        </w:tc>
        <w:tc>
          <w:tcPr>
            <w:tcW w:w="2355" w:type="dxa"/>
          </w:tcPr>
          <w:p w14:paraId="002F607B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3BC8AB70" w14:textId="77777777" w:rsidR="00134924" w:rsidRPr="00134924" w:rsidRDefault="00134924" w:rsidP="00134924">
            <w:pPr>
              <w:spacing w:before="240"/>
              <w:ind w:firstLine="7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1C65B158" w14:textId="3494FA38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134924" w:rsidRPr="001B4B8C" w14:paraId="47D394BE" w14:textId="77777777" w:rsidTr="00F42AD2">
        <w:trPr>
          <w:tblHeader/>
        </w:trPr>
        <w:tc>
          <w:tcPr>
            <w:tcW w:w="605" w:type="dxa"/>
          </w:tcPr>
          <w:p w14:paraId="3CE9D27D" w14:textId="77777777" w:rsidR="00134924" w:rsidRPr="00134924" w:rsidRDefault="00134924" w:rsidP="00134924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713CCF70" w14:textId="524FFE4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Czy Wnioskodawca dokonał nieuzasadnionych zmian? (dotyczy wniosków, które podlegały uzupełnieniom)</w:t>
            </w:r>
          </w:p>
        </w:tc>
        <w:tc>
          <w:tcPr>
            <w:tcW w:w="4199" w:type="dxa"/>
          </w:tcPr>
          <w:p w14:paraId="61DABA0A" w14:textId="77777777" w:rsidR="00134924" w:rsidRPr="00134924" w:rsidRDefault="00134924" w:rsidP="00134924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 xml:space="preserve">Weryfikacji podlega, czy w związku z uzupełnieniem/poprawą dokumentacji aplikacyjnej, nie dokonano nieuzasadnionych zmian, innych niż te wynikające z wezwania do uzupełnienia bądź stanowiące uspójnienie dotychczasowych zapisów wniosku, o </w:t>
            </w:r>
            <w:r w:rsidRPr="00134924">
              <w:rPr>
                <w:rFonts w:cstheme="minorHAnsi"/>
                <w:color w:val="000000"/>
                <w:sz w:val="24"/>
                <w:szCs w:val="24"/>
              </w:rPr>
              <w:lastRenderedPageBreak/>
              <w:t>których mowa w Regulaminie wyboru projektów:</w:t>
            </w:r>
          </w:p>
          <w:p w14:paraId="1F200014" w14:textId="77777777" w:rsidR="00134924" w:rsidRPr="00134924" w:rsidRDefault="00134924" w:rsidP="00134924">
            <w:pPr>
              <w:numPr>
                <w:ilvl w:val="0"/>
                <w:numId w:val="11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dodanie / usunięcie wydatku; </w:t>
            </w:r>
          </w:p>
          <w:p w14:paraId="29AFCF11" w14:textId="77777777" w:rsidR="00134924" w:rsidRPr="00134924" w:rsidRDefault="00134924" w:rsidP="00134924">
            <w:pPr>
              <w:numPr>
                <w:ilvl w:val="0"/>
                <w:numId w:val="11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zwiększenie wartości całkowitego dofinansowania pierwotnie założonego we wniosku;</w:t>
            </w:r>
          </w:p>
          <w:p w14:paraId="58A783CF" w14:textId="77777777" w:rsidR="00134924" w:rsidRPr="00134924" w:rsidRDefault="00134924" w:rsidP="00134924">
            <w:pPr>
              <w:numPr>
                <w:ilvl w:val="0"/>
                <w:numId w:val="11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  <w:lang w:val="x-none"/>
              </w:rPr>
              <w:t>dodanie/usunięcie celu lub rezultatu projektu.</w:t>
            </w:r>
          </w:p>
          <w:p w14:paraId="40EF4C46" w14:textId="2D7884BA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038895F6" w14:textId="77777777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574847D" w14:textId="29EDAF4C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355" w:type="dxa"/>
          </w:tcPr>
          <w:p w14:paraId="2D8F2597" w14:textId="1E6AC18A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352" w:type="dxa"/>
          </w:tcPr>
          <w:p w14:paraId="67A1DE21" w14:textId="008F9730" w:rsidR="00134924" w:rsidRPr="00134924" w:rsidRDefault="00134924" w:rsidP="0013492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34924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AFE276D" w14:textId="43F04CED" w:rsidR="00A000A2" w:rsidRPr="00442DCB" w:rsidRDefault="004D434A" w:rsidP="004D434A">
      <w:pPr>
        <w:pStyle w:val="Nagwek2"/>
        <w:rPr>
          <w:u w:val="single"/>
        </w:rPr>
      </w:pPr>
      <w:r>
        <w:lastRenderedPageBreak/>
        <w:br/>
      </w:r>
      <w:r w:rsidR="00A000A2" w:rsidRPr="00442DCB">
        <w:rPr>
          <w:u w:val="single"/>
        </w:rPr>
        <w:t>Kryteria merytoryczne</w:t>
      </w:r>
    </w:p>
    <w:p w14:paraId="46DD6079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Funduszy Europejskich dla Śląskiego 2021-2027 obowiązującego na moment zatwierdzenia pakietu aplikacyjnego. Oceny kryteriów dokonują członkowie KOP.</w:t>
      </w:r>
    </w:p>
    <w:p w14:paraId="35CAE4B7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W przypadku spełnienia kryteriów zero-jedynkowych projekt weryfikowany jest pod kątem kryteriów punktowanych. Kryteria merytoryczne punktowane nie podlegają weryfikacji w przypadku niespełnienia kryteriów merytorycznych zero-jedynkowych.</w:t>
      </w:r>
    </w:p>
    <w:p w14:paraId="43B50364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otrzymać maksymalnie 41 punktów w kryteriach punktowanych. Wniosek otrzymuje ocenę pozytywną w zakresie spełnienia kryteriów merytorycznych w przypadku spełnienia wszystkich kryteriów zero-jedynkowych oraz uzyskania co najmniej 18 punktów w wyniku oceny projektu w kryteriach punktowanych. Projekty, które uzyskają mniej niż 18 punktów nie kwalifikują się do wsparcia i otrzymują negatywną ocenę merytoryczną. </w:t>
      </w:r>
    </w:p>
    <w:p w14:paraId="124FF50A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W ramach kryterium przyznawane będzie od 0 do maksymalnie 7 punktów (przy czym nie stosuje się punktów ułamkowych), które określają stopień spełnienia kryterium przez oceniany projekt. Oznacza to, że np.:</w:t>
      </w:r>
    </w:p>
    <w:p w14:paraId="20782EB7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3DA4F128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7 pkt - najbardziej spełnia kryterium</w:t>
      </w:r>
    </w:p>
    <w:p w14:paraId="7BC45ABA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3" w:name="_Hlk129357113"/>
      <w:r w:rsidRPr="00442DCB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3"/>
    <w:p w14:paraId="36D9918C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lastRenderedPageBreak/>
        <w:t>Ocena merytoryczna zostanie przeprowadzana w oparciu o zapisy wniosku o dofinansowanie, dokumenty do niego załączone, aktualny stan wiedzy/stan techniki oraz dokumenty, na które powołują się kryteria.</w:t>
      </w:r>
    </w:p>
    <w:p w14:paraId="53B18AFD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 xml:space="preserve">W przypadku, gdy kilka projektów uzyska tę samą liczbę punktów kwalifikującą projekt do wsparcia, a wartość alokacji przeznaczonej na dany konkurs nie pozwala na zatwierdzenie do dofinansowania wszystkich projektów, o wyborze projektu do dofinansowania decydują kryteria rozstrzygające. </w:t>
      </w:r>
    </w:p>
    <w:p w14:paraId="5D2DF1A9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469CD3DC" w14:textId="77777777" w:rsidR="00442DCB" w:rsidRPr="00442DCB" w:rsidRDefault="00442DCB" w:rsidP="00442DC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442DCB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</w:p>
    <w:p w14:paraId="7EF1B5F6" w14:textId="77777777" w:rsidR="00A000A2" w:rsidRPr="001B4B8C" w:rsidRDefault="00A000A2" w:rsidP="007B7928">
      <w:pPr>
        <w:pStyle w:val="Legenda"/>
        <w:keepNext/>
        <w:spacing w:before="240" w:line="276" w:lineRule="auto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1B4B8C">
        <w:rPr>
          <w:rFonts w:cstheme="minorHAnsi"/>
          <w:b/>
          <w:i w:val="0"/>
          <w:iCs w:val="0"/>
          <w:color w:val="auto"/>
          <w:sz w:val="24"/>
          <w:szCs w:val="24"/>
        </w:rPr>
        <w:t>Tabela 2. Kryteria merytoryczne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2. Kryteria merytoryczne"/>
      </w:tblPr>
      <w:tblGrid>
        <w:gridCol w:w="639"/>
        <w:gridCol w:w="4018"/>
        <w:gridCol w:w="4028"/>
        <w:gridCol w:w="2174"/>
        <w:gridCol w:w="1877"/>
        <w:gridCol w:w="1735"/>
      </w:tblGrid>
      <w:tr w:rsidR="00A000A2" w:rsidRPr="001B4B8C" w14:paraId="7AC350EB" w14:textId="77777777" w:rsidTr="004D434A">
        <w:trPr>
          <w:tblHeader/>
        </w:trPr>
        <w:tc>
          <w:tcPr>
            <w:tcW w:w="639" w:type="dxa"/>
            <w:shd w:val="clear" w:color="auto" w:fill="BFBFBF" w:themeFill="background1" w:themeFillShade="BF"/>
          </w:tcPr>
          <w:p w14:paraId="19DE888B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4018" w:type="dxa"/>
            <w:shd w:val="clear" w:color="auto" w:fill="BFBFBF" w:themeFill="background1" w:themeFillShade="BF"/>
          </w:tcPr>
          <w:p w14:paraId="0928FED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028" w:type="dxa"/>
            <w:shd w:val="clear" w:color="auto" w:fill="BFBFBF" w:themeFill="background1" w:themeFillShade="BF"/>
          </w:tcPr>
          <w:p w14:paraId="04C41B87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7260B2B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4" w:type="dxa"/>
            <w:shd w:val="clear" w:color="auto" w:fill="BFBFBF" w:themeFill="background1" w:themeFillShade="BF"/>
          </w:tcPr>
          <w:p w14:paraId="02B57B9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877" w:type="dxa"/>
            <w:shd w:val="clear" w:color="auto" w:fill="BFBFBF" w:themeFill="background1" w:themeFillShade="BF"/>
          </w:tcPr>
          <w:p w14:paraId="0753FB3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735" w:type="dxa"/>
            <w:shd w:val="clear" w:color="auto" w:fill="BFBFBF" w:themeFill="background1" w:themeFillShade="BF"/>
          </w:tcPr>
          <w:p w14:paraId="3BD879B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442DCB" w:rsidRPr="001B4B8C" w14:paraId="06FCFFBC" w14:textId="77777777" w:rsidTr="00F42AD2">
        <w:tc>
          <w:tcPr>
            <w:tcW w:w="639" w:type="dxa"/>
          </w:tcPr>
          <w:p w14:paraId="32042F4C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65974E0C" w14:textId="109E4BC1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Projekt realizuje cele działania wskazane  w SZOP FE SL 2021 - 2027 dla którego ogłoszono nabór dla danego typu projektu oraz TPST WSL</w:t>
            </w:r>
          </w:p>
        </w:tc>
        <w:tc>
          <w:tcPr>
            <w:tcW w:w="4028" w:type="dxa"/>
          </w:tcPr>
          <w:p w14:paraId="23CCDED1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Kryterium zostanie uznane za spełnione w przypadku, gdy projekt przyczyni się do dywersyfikacji gospodarczej podregionów górniczych objętych transformacją. </w:t>
            </w:r>
          </w:p>
          <w:p w14:paraId="058CB825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Weryfikowane jest:</w:t>
            </w:r>
          </w:p>
          <w:p w14:paraId="02810A1C" w14:textId="77777777" w:rsidR="00442DCB" w:rsidRPr="00442DCB" w:rsidRDefault="00442DCB" w:rsidP="00442DCB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projekt wpisuje się w </w:t>
            </w:r>
            <w:r w:rsidRPr="00442DCB">
              <w:rPr>
                <w:rFonts w:cstheme="minorHAnsi"/>
                <w:sz w:val="24"/>
                <w:szCs w:val="24"/>
              </w:rPr>
              <w:t xml:space="preserve">typ projektu dla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>działani</w:t>
            </w:r>
            <w:r w:rsidRPr="00442DCB">
              <w:rPr>
                <w:rFonts w:cstheme="minorHAnsi"/>
                <w:sz w:val="24"/>
                <w:szCs w:val="24"/>
              </w:rPr>
              <w:t>a 10.03 wskazanego w SZOP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FE SL 2021-2027</w:t>
            </w:r>
            <w:r w:rsidRPr="00442DCB">
              <w:rPr>
                <w:rFonts w:cstheme="minorHAnsi"/>
                <w:sz w:val="24"/>
                <w:szCs w:val="24"/>
              </w:rPr>
              <w:t>,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dla którego </w:t>
            </w:r>
            <w:r w:rsidRPr="00442DCB">
              <w:rPr>
                <w:rFonts w:cstheme="minorHAnsi"/>
                <w:sz w:val="24"/>
                <w:szCs w:val="24"/>
              </w:rPr>
              <w:t>skierowany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jest nabór</w:t>
            </w:r>
            <w:r w:rsidRPr="00442DCB">
              <w:rPr>
                <w:rFonts w:cstheme="minorHAnsi"/>
                <w:sz w:val="24"/>
                <w:szCs w:val="24"/>
              </w:rPr>
              <w:t>, tj. Mikroinwestycje w MŚP;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</w:t>
            </w:r>
          </w:p>
          <w:p w14:paraId="2B6D7D29" w14:textId="77777777" w:rsidR="00442DCB" w:rsidRPr="00442DCB" w:rsidRDefault="00442DCB" w:rsidP="00442DCB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442DCB">
              <w:rPr>
                <w:rFonts w:cstheme="minorHAnsi"/>
                <w:sz w:val="24"/>
                <w:szCs w:val="24"/>
              </w:rPr>
              <w:t xml:space="preserve">projekt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realizuje cele </w:t>
            </w:r>
            <w:r w:rsidRPr="00442DCB">
              <w:rPr>
                <w:rFonts w:cstheme="minorHAnsi"/>
                <w:sz w:val="24"/>
                <w:szCs w:val="24"/>
              </w:rPr>
              <w:t xml:space="preserve">działania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tj. </w:t>
            </w:r>
            <w:r w:rsidRPr="00442DCB">
              <w:rPr>
                <w:rFonts w:cstheme="minorHAnsi"/>
                <w:sz w:val="24"/>
                <w:szCs w:val="24"/>
              </w:rPr>
              <w:t>umożliwia łagodzenie skutków transformacji wpływających na społeczeństwo, zatrudnienie, gospodarkę i środowisko;</w:t>
            </w:r>
          </w:p>
          <w:p w14:paraId="22674F16" w14:textId="77777777" w:rsidR="00442DCB" w:rsidRPr="00442DCB" w:rsidRDefault="00442DCB" w:rsidP="00442DCB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czy projekt przyczynia się do realizacji wyzwań i celów określonych w Terytorialnym Planie Sprawiedliwej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Transformacji WSL (w wersji aktualnej na dzień ogłoszenia naboru). </w:t>
            </w:r>
          </w:p>
          <w:p w14:paraId="7051CA84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nie jest spełnione, kiedy oceniający uzna, że zakres działań opisanych w projekcie nie realizuje celu działania, dla którego ogłoszono nabór.</w:t>
            </w:r>
          </w:p>
          <w:p w14:paraId="4C2DF05B" w14:textId="0CD32DC1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A587DAC" w14:textId="1C8F0C13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1FD9EE20" w14:textId="36CEE8E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069115C6" w14:textId="3AC9C20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6DE11004" w14:textId="77777777" w:rsidTr="00F42AD2">
        <w:tc>
          <w:tcPr>
            <w:tcW w:w="639" w:type="dxa"/>
          </w:tcPr>
          <w:p w14:paraId="32EB889E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0E4ED84" w14:textId="6924834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4028" w:type="dxa"/>
          </w:tcPr>
          <w:p w14:paraId="38CCBEEA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21C4F079" w14:textId="77777777" w:rsidR="00442DCB" w:rsidRPr="00442DCB" w:rsidRDefault="00442DCB" w:rsidP="00442DCB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czy posiada odpowiednie zasoby ludzkie (organizacyjne oraz kadrowe); </w:t>
            </w:r>
          </w:p>
          <w:p w14:paraId="1B4A2727" w14:textId="77777777" w:rsidR="00442DCB" w:rsidRPr="00442DCB" w:rsidRDefault="00442DCB" w:rsidP="00442DCB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techniczne (posiadana infrastruktura); </w:t>
            </w:r>
          </w:p>
          <w:p w14:paraId="06CCCACE" w14:textId="77777777" w:rsidR="00442DCB" w:rsidRPr="00442DCB" w:rsidRDefault="00442DCB" w:rsidP="00442DCB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>czy zakres projektu, sposób wykonania, okres realizacji, posiadane pozwolenia, zezwolenia umożliwiają realizację projektu</w:t>
            </w:r>
            <w:r w:rsidRPr="00442DCB">
              <w:rPr>
                <w:rFonts w:cstheme="minorHAnsi"/>
                <w:sz w:val="24"/>
                <w:szCs w:val="24"/>
              </w:rPr>
              <w:t>;</w:t>
            </w:r>
          </w:p>
          <w:p w14:paraId="798CE6D2" w14:textId="77777777" w:rsidR="00442DCB" w:rsidRPr="00442DCB" w:rsidRDefault="00442DCB" w:rsidP="00442DCB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</w:rPr>
              <w:t>czy Wnioskodawca posiada potencjał finansowy zapewniający wykonalność projektu.</w:t>
            </w:r>
          </w:p>
          <w:p w14:paraId="2D800A04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Weryfikacji odnośnie potencjału finansowego dokonuje się na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podstawie załączonych dokumentów finansowych (m.in. sprawozdań finansowych, ewentualnie dokumentów potwierdzających posiadanie środków na realizację projektu, w sytuacji w której Wnioskodawca dostarczy stosowny załącznik,</w:t>
            </w:r>
            <w:r w:rsidRPr="00442DCB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sz w:val="24"/>
                <w:szCs w:val="24"/>
              </w:rPr>
              <w:t>harmonogramu składania wniosków o zaliczkę/płatność pośrednią/płatność końcową), dodatkowych załączników oraz opisu wniosku w tym prognoz finansowych.</w:t>
            </w:r>
          </w:p>
          <w:p w14:paraId="240CFB85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2119DC69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nie jest spełnione, kiedy oceniający uzna, że Wnioskodawca nie spełnia przynajmniej jednego z wyżej wymienionych aspektów.</w:t>
            </w:r>
          </w:p>
          <w:p w14:paraId="384439A1" w14:textId="7829595F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07A3172F" w14:textId="6556785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6D92FE86" w14:textId="415276FE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B3B52B7" w14:textId="13ABD7A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535B7E91" w14:textId="77777777" w:rsidTr="00F42AD2">
        <w:tc>
          <w:tcPr>
            <w:tcW w:w="639" w:type="dxa"/>
          </w:tcPr>
          <w:p w14:paraId="6E306BFA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52AB3FD8" w14:textId="427BD77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4028" w:type="dxa"/>
          </w:tcPr>
          <w:p w14:paraId="2404B403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637AA623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>czy cel i przedmiot projektu odpowiada na zidentyfikowany oraz precyzyjnie przedstawiony we wniosku problem;</w:t>
            </w:r>
          </w:p>
          <w:p w14:paraId="73447EC1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>czy przedstawiono informacje dot. otoczenia konkurencyjnego związanego z rezultatem projektu (produkt/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lastRenderedPageBreak/>
              <w:t>technologia/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>usługa) w sposób umożliwiający przeprowadzenie analizy w powyższym zakresie;</w:t>
            </w:r>
          </w:p>
          <w:p w14:paraId="25BF9D7D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>czy zaplanowane zadania są niezbędne do osiągnięcia celu i rezultatu, a także adekwatne do przedstawionego problemu;</w:t>
            </w:r>
          </w:p>
          <w:p w14:paraId="43098320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442DCB">
              <w:rPr>
                <w:rFonts w:cstheme="minorHAnsi"/>
                <w:sz w:val="24"/>
                <w:szCs w:val="24"/>
              </w:rPr>
              <w:t xml:space="preserve">działania zaplanowane w projekcie stanowią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>logiczną całość;</w:t>
            </w:r>
          </w:p>
          <w:p w14:paraId="5EF83DBC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>czy zidentyfikowano i opisano ewentualne ryzyka związane z projektem i przewidziano działania eliminujące lub łagodzące ich skutki;</w:t>
            </w:r>
          </w:p>
          <w:p w14:paraId="746550B3" w14:textId="77777777" w:rsidR="00442DCB" w:rsidRPr="00442DCB" w:rsidRDefault="00442DCB" w:rsidP="00442DCB">
            <w:pPr>
              <w:numPr>
                <w:ilvl w:val="0"/>
                <w:numId w:val="1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lastRenderedPageBreak/>
              <w:t>czy przewidziany sposób zarządzania w projekcie gwarantuje jego prawidłową realizację.</w:t>
            </w:r>
          </w:p>
          <w:p w14:paraId="6DD5E972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nie jest spełnione, kiedy oceniający uzna, że projekt nie spełnia wszystkich elementów metodologii.</w:t>
            </w:r>
          </w:p>
          <w:p w14:paraId="0594FF5C" w14:textId="4269B585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07C89176" w14:textId="6C6599F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54C96510" w14:textId="10CF783D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4D3708DA" w14:textId="02446CF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3DB13077" w14:textId="77777777" w:rsidTr="00F42AD2">
        <w:tc>
          <w:tcPr>
            <w:tcW w:w="639" w:type="dxa"/>
          </w:tcPr>
          <w:p w14:paraId="781365AD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B30985C" w14:textId="1614168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4028" w:type="dxa"/>
            <w:vAlign w:val="center"/>
          </w:tcPr>
          <w:p w14:paraId="1BB1A6CC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0958917E" w14:textId="77777777" w:rsidR="00442DCB" w:rsidRPr="00442DCB" w:rsidRDefault="00442DCB" w:rsidP="00442DCB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zaplanowane do osiągnięcia w projekcie efekty w postaci wskaźników są możliwe do zrealizowania przy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pomocy działań zaplanowanych w projekcie; </w:t>
            </w:r>
          </w:p>
          <w:p w14:paraId="25D236C9" w14:textId="77777777" w:rsidR="00442DCB" w:rsidRPr="00442DCB" w:rsidRDefault="00442DCB" w:rsidP="00442DCB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czy zaplanowane wskaźniki przyczynią się do osiągnięcia celów i rezultatów </w:t>
            </w:r>
            <w:r w:rsidRPr="00442DCB">
              <w:rPr>
                <w:rFonts w:cstheme="minorHAnsi"/>
                <w:sz w:val="24"/>
                <w:szCs w:val="24"/>
              </w:rPr>
              <w:t xml:space="preserve">zaplanowanych dla działania i wskazanych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>w SZOP FE SL</w:t>
            </w:r>
            <w:r w:rsidRPr="00442DCB">
              <w:rPr>
                <w:rFonts w:cstheme="minorHAnsi"/>
                <w:sz w:val="24"/>
                <w:szCs w:val="24"/>
              </w:rPr>
              <w:t xml:space="preserve"> 2021 – 2027;</w:t>
            </w:r>
          </w:p>
          <w:p w14:paraId="0C8C96B6" w14:textId="77777777" w:rsidR="00442DCB" w:rsidRPr="00442DCB" w:rsidRDefault="00442DCB" w:rsidP="00442DCB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</w:rPr>
              <w:t>czy wskaźniki produktu dla kwot ryczałtowych są prawidłowe;</w:t>
            </w:r>
          </w:p>
          <w:p w14:paraId="087E87DB" w14:textId="77777777" w:rsidR="00442DCB" w:rsidRPr="00442DCB" w:rsidRDefault="00442DCB" w:rsidP="00442DCB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czy w przypadku wskaźników produktu dla kwot ryczałtowych wskazane zostały prawidłowe i adekwatne dokumenty jako źródła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potwierdzające osiągnięcie wskaźnika. </w:t>
            </w:r>
          </w:p>
          <w:p w14:paraId="792E97D3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 wskaźnika a także dokumentu źródłowego potwierdzającego jego osiągniecie.</w:t>
            </w:r>
          </w:p>
          <w:p w14:paraId="0B836D7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przypadku korekty wskaźników dla danych kwot ryczałtowych oceniający jest zobowiązany do pisemnego wyjaśnienia z Wnioskodawcą planowanej do wykonania korekty. Brak ostatecznej akceptacji (po wyjaśnieniach) ze strony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Wnioskodawcy dla zaproponowanej przez oceniającego korekty skutkować będzie negatywną oceną kryterium</w:t>
            </w:r>
          </w:p>
          <w:p w14:paraId="4C0C4DB8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Procedura korekty wskaźników została określona w Regulaminie wyboru projektów. W sytuacji konieczności dokonania korekty w ramach przedmiotowego kryterium, Wnioskodawca zostanie poproszony o stosowną poprawę wniosku przed podpisaniem umowy o dofinansowanie.</w:t>
            </w:r>
          </w:p>
          <w:p w14:paraId="0F0E689C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Kryterium nie jest spełnione, kiedy oceniający uzna, że zakres działań jest niewystarczający do osiągnięcia wskaźników bądź kiedy Wnioskodawca nie zaakceptuje proponowanej przez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oceniającego korekty wskaźnika dla kwoty ryczałtowej.</w:t>
            </w:r>
          </w:p>
          <w:p w14:paraId="36CFD734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Aspekty dotyczące wskaźników kwot ryczałtowych ocenia się jedynie w przypadku gdy w naborze przewidziano rozliczanie metodą uproszczoną – kwotą ryczałtową. </w:t>
            </w:r>
          </w:p>
          <w:p w14:paraId="02E3231F" w14:textId="5E7FB803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36931B8" w14:textId="64C327ED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6BC5C139" w14:textId="2DDF8AF6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1C929029" w14:textId="73E2CD5D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060F98D3" w14:textId="77777777" w:rsidTr="00F42AD2">
        <w:tc>
          <w:tcPr>
            <w:tcW w:w="639" w:type="dxa"/>
          </w:tcPr>
          <w:p w14:paraId="519D0837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0510EA9" w14:textId="5EED6C5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 oraz prawidłowość oszacowania kwot ryczałtowych</w:t>
            </w:r>
          </w:p>
        </w:tc>
        <w:tc>
          <w:tcPr>
            <w:tcW w:w="4028" w:type="dxa"/>
          </w:tcPr>
          <w:p w14:paraId="5562DDC3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Ocenie podlega, czy wszystkie wydatki są zasadne z punktu widzenia realizacji i wykonalności inwestycji, oraz czy ich wysokość jest porównywalna z cenami rynkowymi oraz czy wydatki wpisują się w inwestycję produkcyjną MŚP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prowadzącą do dywersyfikacji gospodarczej. </w:t>
            </w:r>
          </w:p>
          <w:p w14:paraId="4CE26199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Oceniający mają możliwość korekty wydatków w przypadku uznania ich za niezasadne lub o zawyżonej wartości. Poziom obniżenia lub uznanie wydatku za nieuzasadniony nie może przekroczyć 20% wartości całkowitych wydatków kwalifikowanych projektu. Oceniający projekt wypracowują stanowisko odnośnie korekty wydatków i odnotowują ten fakt na karcie oceny merytorycznej. Jeżeli zdaniem oceniających więcej niż 20% wartości całkowitych wydatków kwalifikowanych jest nieuzasadnione lub zawyżone uznaje się, że projekt nie spełnia kryterium. Procedura korekty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została wskazana w Regulaminie wyboru projektów.</w:t>
            </w:r>
          </w:p>
          <w:p w14:paraId="23C709AB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Kryterium nie zostanie spełnione również jeżeli korekta do 20% całkowitych kosztów kwalifikowalnych prowadzić będzie do zmniejszenia kwoty dofinansowania poniżej 500 000 PLN.  </w:t>
            </w:r>
          </w:p>
          <w:p w14:paraId="25CAABDB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Wnioskodawca zostanie poproszony o stosowną poprawę wniosku o dofinansowanie przed podpisaniem umowy o dofinansowanie.</w:t>
            </w:r>
          </w:p>
          <w:p w14:paraId="6B2FB604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Ocenie podlega również czy kwota ryczałtowa została wyliczona przez Wnioskodawcę w oparciu o sprawiedliwą, rzetelną i racjonalną metodę.  </w:t>
            </w:r>
          </w:p>
          <w:p w14:paraId="20669FE8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Oceniający ma możliwość wezwania do dostarczenia szczegółowych wyjaśnień, w tym dokumentów potwierdzających źródła danych, na podstawie których przeprowadzono szacowanie kwot ryczałtowych, termin szacowania, deklarowane wartości oraz potencjalnych oferentów. Brak przedstawienia wyjaśnień może stanowić postawę dla niespełnienia kryterium.</w:t>
            </w:r>
          </w:p>
          <w:p w14:paraId="1C1142DA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sytuacji gdy oceniający uzna, iż kwota ryczałtowa nie została oszacowana w sposób sprawiedliwy, rzetelny i racjonalny kryterium nie zostanie spełnione.</w:t>
            </w:r>
          </w:p>
          <w:p w14:paraId="5D3E682E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Aspekty dotyczące kwot ryczałtowych ocenia się jedynie w przypadku gdy w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naborze przewidziano rozliczanie metodą uproszczoną – kwotą ryczałtową. </w:t>
            </w:r>
          </w:p>
          <w:p w14:paraId="17161459" w14:textId="3E2F9563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D91A786" w14:textId="4282C74A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47D4854A" w14:textId="2E2430E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F0A37E8" w14:textId="3D760C8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79750FAA" w14:textId="77777777" w:rsidTr="00821EAA">
        <w:tc>
          <w:tcPr>
            <w:tcW w:w="639" w:type="dxa"/>
          </w:tcPr>
          <w:p w14:paraId="1F668C74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C2701A7" w14:textId="74CA75D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4028" w:type="dxa"/>
            <w:vAlign w:val="center"/>
          </w:tcPr>
          <w:p w14:paraId="1618D105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51175A99" w14:textId="77777777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025FA1BC" w14:textId="07FB78C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DFC2188" w14:textId="5554171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6C9F2390" w14:textId="1605E5A8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0243E41" w14:textId="7B4828E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43532BBB" w14:textId="77777777" w:rsidTr="00821EAA">
        <w:tc>
          <w:tcPr>
            <w:tcW w:w="639" w:type="dxa"/>
          </w:tcPr>
          <w:p w14:paraId="1AE6D49C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24773539" w14:textId="1A55518D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4028" w:type="dxa"/>
            <w:vAlign w:val="center"/>
          </w:tcPr>
          <w:p w14:paraId="30519B1A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standardów dostępności dla polityki spójności na lata 2021-2027. </w:t>
            </w:r>
            <w:r w:rsidRPr="00442DCB">
              <w:rPr>
                <w:rFonts w:cstheme="minorHAnsi"/>
                <w:sz w:val="24"/>
                <w:szCs w:val="24"/>
              </w:rPr>
              <w:t>W przypadku obiektów i zasobów modernizowanych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2"/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t> </w:t>
            </w:r>
            <w:r w:rsidRPr="00442DCB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3"/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t xml:space="preserve"> </w:t>
            </w:r>
            <w:r w:rsidRPr="00442DCB">
              <w:rPr>
                <w:rFonts w:cstheme="minorHAnsi"/>
                <w:sz w:val="24"/>
                <w:szCs w:val="24"/>
              </w:rPr>
              <w:t>, rozbudowa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4"/>
            </w:r>
            <w:r w:rsidRPr="00442DCB">
              <w:rPr>
                <w:rFonts w:cstheme="minorHAnsi"/>
                <w:sz w:val="24"/>
                <w:szCs w:val="24"/>
              </w:rPr>
              <w:t xml:space="preserve"> ),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45B7FC27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dostępności cyfrowej dokumentacji projektowej publikowanej na stronach zgodnych z WCAG 2.1, nawet w przypadku braku kwalifikowalności takich wydatków w projekcie.</w:t>
            </w:r>
          </w:p>
          <w:p w14:paraId="3E51377D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4CCA8FA6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</w:p>
          <w:p w14:paraId="47CB2ACE" w14:textId="11F5B9F6" w:rsidR="00442DCB" w:rsidRPr="00442DCB" w:rsidRDefault="00442DCB" w:rsidP="00442DCB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AF563FA" w14:textId="3F20690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2309371A" w14:textId="59691D4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393ACA6" w14:textId="30945B46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63611046" w14:textId="77777777" w:rsidTr="00821EAA">
        <w:tc>
          <w:tcPr>
            <w:tcW w:w="639" w:type="dxa"/>
          </w:tcPr>
          <w:p w14:paraId="68C16D16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B29A624" w14:textId="467E4E4B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4028" w:type="dxa"/>
            <w:vAlign w:val="center"/>
          </w:tcPr>
          <w:p w14:paraId="768E601F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Przez zgodność z zasadą równości kobiet i mężczyzn należy rozumieć pozytywny lub neutralny wpływ projektu na 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realizację  tej  zasady. </w:t>
            </w:r>
          </w:p>
          <w:p w14:paraId="4F0A6D09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dyskryminacji i wykluczenia ze względu na płeć.</w:t>
            </w:r>
          </w:p>
          <w:p w14:paraId="5E05E223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Neutralność projektu w stosunku do realizacji zasady równości kobiet i mężczyzn  dopuszczalna jest tylko w sytuacji, kiedy w ramach projektu Wnioskodawca wskaże szczegółowe uzasadnienie, dlaczego dany projekt nie jest w stanie zrealizować jakichkolwiek działań wpływających na spełnienie ww. zasady, a uzasadnienie to zostanie uznane przez 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 za adekwatne i wystarczające. </w:t>
            </w:r>
          </w:p>
          <w:p w14:paraId="22C139D3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69D416B6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zostanie zweryfikowane na podstawie zapisów we wniosku o dofinansowanie projektu, zwłaszcza zapisów z części 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</w:p>
          <w:p w14:paraId="55588117" w14:textId="087833C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77F6074F" w14:textId="06668C0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348368A5" w14:textId="2717516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0526107" w14:textId="449B646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558A8B77" w14:textId="77777777" w:rsidTr="00F42AD2">
        <w:tc>
          <w:tcPr>
            <w:tcW w:w="639" w:type="dxa"/>
          </w:tcPr>
          <w:p w14:paraId="1DBA3941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C3334B4" w14:textId="1867271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Zgodność projektu z Kartą Praw Podstawowych Unii Europejskiej z dnia 26 października 2012 r. (Dz. Urz. UE C 326 z 26.10.2012, str. 391), w zakresie odnoszącym się do sposobu realizacji, zakresu projektu i Wnioskodawcy.    </w:t>
            </w:r>
          </w:p>
        </w:tc>
        <w:tc>
          <w:tcPr>
            <w:tcW w:w="4028" w:type="dxa"/>
            <w:vAlign w:val="center"/>
          </w:tcPr>
          <w:p w14:paraId="4853AA98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4CC4721E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Żaden aspekt projektu, jego zakres oraz sposób jego realizacji nie może naruszać zapisów Karty.</w:t>
            </w:r>
          </w:p>
          <w:p w14:paraId="275ACE21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udzielone.</w:t>
            </w:r>
          </w:p>
          <w:p w14:paraId="61A28AAC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3AEDBA6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</w:p>
          <w:p w14:paraId="1936130E" w14:textId="562D501C" w:rsidR="00442DCB" w:rsidRPr="00442DCB" w:rsidRDefault="00442DCB" w:rsidP="00442DCB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174" w:type="dxa"/>
          </w:tcPr>
          <w:p w14:paraId="23673617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A541E4D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81B2B77" w14:textId="4992C3C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255F569D" w14:textId="1E6CB42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223EAB29" w14:textId="77777777" w:rsidTr="00821EAA">
        <w:tc>
          <w:tcPr>
            <w:tcW w:w="639" w:type="dxa"/>
          </w:tcPr>
          <w:p w14:paraId="3F154A8B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  <w:vAlign w:val="center"/>
          </w:tcPr>
          <w:p w14:paraId="2ED98912" w14:textId="4B49263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4028" w:type="dxa"/>
            <w:vAlign w:val="center"/>
          </w:tcPr>
          <w:p w14:paraId="504C268F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14700B3A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zapisów z części 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Pr="00442D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79F2251" w14:textId="296B6A4B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8D977E5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Tak</w:t>
            </w:r>
          </w:p>
          <w:p w14:paraId="2B9A01D9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E45A019" w14:textId="69D94BF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601BB6BF" w14:textId="5043BF95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566D2420" w14:textId="77777777" w:rsidTr="00F42AD2">
        <w:tc>
          <w:tcPr>
            <w:tcW w:w="639" w:type="dxa"/>
          </w:tcPr>
          <w:p w14:paraId="5938FB57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7A0F2253" w14:textId="52199F3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4028" w:type="dxa"/>
            <w:vAlign w:val="center"/>
          </w:tcPr>
          <w:p w14:paraId="3BFD7332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05390ED3" w14:textId="77777777" w:rsidR="00442DCB" w:rsidRPr="00442DCB" w:rsidRDefault="00442DCB" w:rsidP="00442DCB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zgodność projektu z zasadą zrównoważonego rozwoju</w:t>
            </w:r>
            <w:r w:rsidRPr="00442DCB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78FA56F7" w14:textId="77777777" w:rsidR="00442DCB" w:rsidRPr="00442DCB" w:rsidRDefault="00442DCB" w:rsidP="00442DCB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zgodność projektu z Europejskim Zielonym Ładem</w:t>
            </w:r>
          </w:p>
          <w:p w14:paraId="36E74947" w14:textId="77777777" w:rsidR="00442DCB" w:rsidRPr="00442DCB" w:rsidRDefault="00442DCB" w:rsidP="00442DCB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zgodność projektu z zasadą „nie czyń poważnych szkód" </w:t>
            </w:r>
          </w:p>
          <w:p w14:paraId="61F2F2E5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Przez </w:t>
            </w:r>
            <w:r w:rsidRPr="00442DCB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442DCB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</w:t>
            </w:r>
            <w:r w:rsidRPr="00442DCB">
              <w:rPr>
                <w:rFonts w:cstheme="minorHAnsi"/>
                <w:sz w:val="24"/>
                <w:szCs w:val="24"/>
              </w:rPr>
              <w:br/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 a dodatkowo sprzyja przetrwaniu jej zasobów.</w:t>
            </w:r>
          </w:p>
          <w:p w14:paraId="405D2DA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 formę współpracy przy projekcie (jeżeli będzie to możliwe). Proces zarządzania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projektem również będzie się odbywał w ww. sposób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14:paraId="51AE5B07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442DCB">
              <w:rPr>
                <w:rFonts w:cstheme="minorHAnsi"/>
                <w:sz w:val="24"/>
                <w:szCs w:val="24"/>
              </w:rPr>
              <w:t xml:space="preserve"> (EZŁ, ang. European Green Deal) to strategia rozwoju, która ma przekształcić Unię Europejską w obszar neutralny klimatycznie.</w:t>
            </w:r>
          </w:p>
          <w:p w14:paraId="28E70E2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4317F777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097D7AA2" w14:textId="77777777" w:rsidR="00442DCB" w:rsidRPr="00442DCB" w:rsidRDefault="00442DCB" w:rsidP="00442DCB">
            <w:pPr>
              <w:pStyle w:val="Akapitzlist"/>
              <w:numPr>
                <w:ilvl w:val="0"/>
                <w:numId w:val="19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2DD649A2" w14:textId="77777777" w:rsidR="00442DCB" w:rsidRPr="00442DCB" w:rsidRDefault="00442DCB" w:rsidP="00442DCB">
            <w:pPr>
              <w:pStyle w:val="Akapitzlist"/>
              <w:numPr>
                <w:ilvl w:val="0"/>
                <w:numId w:val="19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10D388D9" w14:textId="77777777" w:rsidR="00442DCB" w:rsidRPr="00442DCB" w:rsidRDefault="00442DCB" w:rsidP="00442DCB">
            <w:pPr>
              <w:pStyle w:val="Akapitzlist"/>
              <w:numPr>
                <w:ilvl w:val="0"/>
                <w:numId w:val="19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przemyśle opartym na obiegu zamkniętym</w:t>
            </w:r>
          </w:p>
          <w:p w14:paraId="1E359AC4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Zasada </w:t>
            </w:r>
            <w:r w:rsidRPr="00442DCB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442DCB">
              <w:rPr>
                <w:rFonts w:cstheme="minorHAnsi"/>
                <w:sz w:val="24"/>
                <w:szCs w:val="24"/>
              </w:rPr>
              <w:t xml:space="preserve">(DNSH, ang. Do No Significant Harm) ma być stosowana w projektach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powszechnie, przekrojowo, w możliwie szerokim zakresie.</w:t>
            </w:r>
          </w:p>
          <w:p w14:paraId="097F11F2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Zgodnie z normami prawnymi Polityki Spójności, Funduszu na rzecz Sprawiedliwej Transformacji, Europejskiego Funduszu Rozwoju Regionalnego i Funduszu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rozporządzenie (UE) 2019/2088 (UE) (tzw. taksonomia).</w:t>
            </w:r>
          </w:p>
          <w:p w14:paraId="6AE021FD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3384E624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We wszystkich projektach w ramach tego celu szczegółowego, w których będzie to zasadne i możliwe zostaną zastosowane rozwiązania w zakresie obiegu cyrkularnego (w tym efektywności energetycznej i użycia energii ze źródeł odnawialnych) jak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również elementy sprzyjające adaptacji do zmian klimatu (w szczególności zielona i niebieska infrastruktura).</w:t>
            </w:r>
          </w:p>
          <w:p w14:paraId="0C7DB70B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projektach, w których mają zastosowanie standardy ochrony 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4DE3CACE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36E82850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przedstawić.</w:t>
            </w:r>
          </w:p>
          <w:p w14:paraId="035F58FC" w14:textId="77777777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3F57C40A" w14:textId="7BE57FCE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5088C6D" w14:textId="2E64EDE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53FFEE70" w14:textId="7106CE3E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1C6B2B69" w14:textId="2D2303E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50E3EF72" w14:textId="77777777" w:rsidTr="00821EAA">
        <w:tc>
          <w:tcPr>
            <w:tcW w:w="639" w:type="dxa"/>
          </w:tcPr>
          <w:p w14:paraId="340FB651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59D22155" w14:textId="3358A32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Utworzenie miejsc pracy</w:t>
            </w:r>
          </w:p>
        </w:tc>
        <w:tc>
          <w:tcPr>
            <w:tcW w:w="4028" w:type="dxa"/>
          </w:tcPr>
          <w:p w14:paraId="6A7910B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kryterium tym ocenie podlegać będzie utworzenie co najmniej jednego miejsca pracy powstałego bezpośrednio w wyniku realizacji projektu. </w:t>
            </w:r>
          </w:p>
          <w:p w14:paraId="418464F3" w14:textId="77777777" w:rsidR="00442DCB" w:rsidRPr="00442DCB" w:rsidRDefault="00442DCB" w:rsidP="00442DCB">
            <w:pPr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przypadku, gdy oceniający stwierdzi, że proponowane do utworzenia miejsce pracy nie pozostaje w bezpośredniej korelacji z inwestycją objętą wnioskiem o dofinansowanie, odstąpi od przyznania w tym kryterium punktów. </w:t>
            </w:r>
          </w:p>
          <w:p w14:paraId="0F2197E5" w14:textId="77777777" w:rsidR="00442DCB" w:rsidRPr="00442DCB" w:rsidRDefault="00442DCB" w:rsidP="00442DCB">
            <w:pPr>
              <w:numPr>
                <w:ilvl w:val="0"/>
                <w:numId w:val="25"/>
              </w:numPr>
              <w:spacing w:after="16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Wnioskodawca zakłada utworzenie jednego miejsca 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pracy (w przeliczeniu na </w:t>
            </w:r>
            <w:r w:rsidRPr="00442DCB">
              <w:rPr>
                <w:rFonts w:cstheme="minorHAnsi"/>
                <w:sz w:val="24"/>
                <w:szCs w:val="24"/>
              </w:rPr>
              <w:t>EPC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– </w:t>
            </w:r>
            <w:r w:rsidRPr="00442DCB">
              <w:rPr>
                <w:rFonts w:cstheme="minorHAnsi"/>
                <w:sz w:val="24"/>
                <w:szCs w:val="24"/>
              </w:rPr>
              <w:t>Ekwiwalent pełnego czasu pracy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) – </w:t>
            </w:r>
            <w:r w:rsidRPr="00442DCB">
              <w:rPr>
                <w:rFonts w:cstheme="minorHAnsi"/>
                <w:sz w:val="24"/>
                <w:szCs w:val="24"/>
              </w:rPr>
              <w:t>2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pkt. </w:t>
            </w:r>
          </w:p>
          <w:p w14:paraId="16CCE8F6" w14:textId="77777777" w:rsidR="00442DCB" w:rsidRPr="00442DCB" w:rsidRDefault="00442DCB" w:rsidP="00442DCB">
            <w:pPr>
              <w:numPr>
                <w:ilvl w:val="0"/>
                <w:numId w:val="25"/>
              </w:numPr>
              <w:spacing w:after="160"/>
              <w:rPr>
                <w:rFonts w:cstheme="minorHAnsi"/>
                <w:sz w:val="24"/>
                <w:szCs w:val="24"/>
                <w:lang w:val="x-none"/>
              </w:rPr>
            </w:pP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Wnioskodawca zakłada utworzenie </w:t>
            </w:r>
            <w:r w:rsidRPr="00442DCB">
              <w:rPr>
                <w:rFonts w:cstheme="minorHAnsi"/>
                <w:sz w:val="24"/>
                <w:szCs w:val="24"/>
              </w:rPr>
              <w:t>dwóch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miejsc pracy (w przeliczeniu na </w:t>
            </w:r>
            <w:r w:rsidRPr="00442DCB">
              <w:rPr>
                <w:rFonts w:cstheme="minorHAnsi"/>
                <w:sz w:val="24"/>
                <w:szCs w:val="24"/>
              </w:rPr>
              <w:t>EPC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– </w:t>
            </w:r>
            <w:r w:rsidRPr="00442DCB">
              <w:rPr>
                <w:rFonts w:cstheme="minorHAnsi"/>
                <w:sz w:val="24"/>
                <w:szCs w:val="24"/>
              </w:rPr>
              <w:t>Ekwiwalent pełnego czasu pracy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) – </w:t>
            </w:r>
            <w:r w:rsidRPr="00442DCB">
              <w:rPr>
                <w:rFonts w:cstheme="minorHAnsi"/>
                <w:sz w:val="24"/>
                <w:szCs w:val="24"/>
              </w:rPr>
              <w:t>4</w:t>
            </w:r>
            <w:r w:rsidRPr="00442DCB">
              <w:rPr>
                <w:rFonts w:cstheme="minorHAnsi"/>
                <w:sz w:val="24"/>
                <w:szCs w:val="24"/>
                <w:lang w:val="x-none"/>
              </w:rPr>
              <w:t xml:space="preserve"> pkt</w:t>
            </w:r>
            <w:r w:rsidRPr="00442DCB">
              <w:rPr>
                <w:rFonts w:cstheme="minorHAnsi"/>
                <w:sz w:val="24"/>
                <w:szCs w:val="24"/>
              </w:rPr>
              <w:t>.</w:t>
            </w:r>
          </w:p>
          <w:p w14:paraId="4E11E4C2" w14:textId="77777777" w:rsidR="00442DCB" w:rsidRPr="00442DCB" w:rsidRDefault="00442DCB" w:rsidP="00442DCB">
            <w:pPr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ramach kryterium oceniający może przyznać  0, 2 lub 4 pkt.</w:t>
            </w:r>
          </w:p>
          <w:p w14:paraId="6205224F" w14:textId="1F81B395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7A021E8B" w14:textId="4DD30B15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345D080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3E5AAABD" w14:textId="700B02B6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0-4</w:t>
            </w:r>
          </w:p>
        </w:tc>
        <w:tc>
          <w:tcPr>
            <w:tcW w:w="1735" w:type="dxa"/>
          </w:tcPr>
          <w:p w14:paraId="3754F265" w14:textId="7173E318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Trzecie kryterium rozstrzygające</w:t>
            </w:r>
          </w:p>
        </w:tc>
      </w:tr>
      <w:tr w:rsidR="00442DCB" w:rsidRPr="001B4B8C" w14:paraId="3F4AB1A8" w14:textId="77777777" w:rsidTr="00821EAA">
        <w:tc>
          <w:tcPr>
            <w:tcW w:w="639" w:type="dxa"/>
          </w:tcPr>
          <w:p w14:paraId="5365D1B0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42A2EA6" w14:textId="05DC0DFA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Wdrożenie GOZ</w:t>
            </w:r>
          </w:p>
        </w:tc>
        <w:tc>
          <w:tcPr>
            <w:tcW w:w="4028" w:type="dxa"/>
          </w:tcPr>
          <w:p w14:paraId="6610E5D7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kryterium tym premiowane jest wdrożenie GOZ (Gospodarka Obiegu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Zamkniętego)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5"/>
            </w:r>
            <w:r w:rsidRPr="00442DCB">
              <w:rPr>
                <w:rFonts w:cstheme="minorHAnsi"/>
                <w:sz w:val="24"/>
                <w:szCs w:val="24"/>
              </w:rPr>
              <w:t xml:space="preserve"> w projekcie: projektowanie zrównoważonych produktów, zapobieganie powstawaniu odpadów i stosowanie obiegu zamkniętego w procesach produkcyjnych.</w:t>
            </w:r>
          </w:p>
          <w:p w14:paraId="314E67E3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przyzna:</w:t>
            </w:r>
          </w:p>
          <w:p w14:paraId="27F42FD4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- 4 pkt – w sytuacji gdy cały proces technologiczny związany z produkcją/świadczeniem usług zostanie oparty o GOZ</w:t>
            </w:r>
          </w:p>
          <w:p w14:paraId="5DDBB2FA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- 2 pkt – w sytuacji gdy uwzględnione zostaną rozwiązana GOZ ale nie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dotyczą one całego procesu technologicznego</w:t>
            </w:r>
          </w:p>
          <w:p w14:paraId="506E0E4A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- 1 pkt – w sytuacji gdy rozwiązania w zakresie GOZ dotyczą kluczowych europejskich łańcuchów wartości takich jak: elektronika, ICT, baterie/akumulatory, pojazdy, opakowania, tworzywa sztuczne, wyroby włókiennicze, budownictwo i budynki, woda i składniki odżywcze</w:t>
            </w:r>
          </w:p>
          <w:p w14:paraId="2927152F" w14:textId="77777777" w:rsidR="00442DCB" w:rsidRPr="00442DCB" w:rsidRDefault="00442DCB" w:rsidP="00442DCB">
            <w:pPr>
              <w:pStyle w:val="Tekstkomentarza"/>
              <w:spacing w:before="240" w:line="276" w:lineRule="auto"/>
              <w:rPr>
                <w:rFonts w:asciiTheme="minorHAnsi" w:eastAsiaTheme="minorHAnsi" w:hAnsiTheme="minorHAnsi" w:cstheme="minorHAnsi"/>
                <w:sz w:val="24"/>
                <w:szCs w:val="24"/>
                <w:lang w:val="pl-PL" w:eastAsia="en-US"/>
              </w:rPr>
            </w:pPr>
            <w:r w:rsidRPr="00442DCB">
              <w:rPr>
                <w:rFonts w:asciiTheme="minorHAnsi" w:eastAsiaTheme="minorHAnsi" w:hAnsiTheme="minorHAnsi" w:cstheme="minorHAnsi"/>
                <w:sz w:val="24"/>
                <w:szCs w:val="24"/>
                <w:lang w:val="pl-PL" w:eastAsia="en-US"/>
              </w:rPr>
              <w:t>- 1 pkt w sytuacji gdy realizacja projektu uwzględni co najmniej 4 z 6 zasad koncepcji 6R: odmów (refuse), ogranicz (reduce), używaj ponownie (reuse), naprawiaj (recorver), oddaj do recyklingu (recycle), zastanów się co możesz zrobić lepiej (rethink)</w:t>
            </w:r>
          </w:p>
          <w:p w14:paraId="7D9D5AC6" w14:textId="5B647FEB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8B05DE9" w14:textId="54345C5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77C798F2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410F7069" w14:textId="3F437B38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0-6</w:t>
            </w:r>
          </w:p>
        </w:tc>
        <w:tc>
          <w:tcPr>
            <w:tcW w:w="1735" w:type="dxa"/>
          </w:tcPr>
          <w:p w14:paraId="085851E7" w14:textId="1ADADE33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1BCCE92A" w14:textId="77777777" w:rsidTr="00821EAA">
        <w:tc>
          <w:tcPr>
            <w:tcW w:w="639" w:type="dxa"/>
          </w:tcPr>
          <w:p w14:paraId="4ED5BB0F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787617F2" w14:textId="598B0F9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Wykorzystanie OZE</w:t>
            </w:r>
          </w:p>
        </w:tc>
        <w:tc>
          <w:tcPr>
            <w:tcW w:w="4028" w:type="dxa"/>
          </w:tcPr>
          <w:p w14:paraId="46E2BFA5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kryterium tym premiowane są inwestycje w źródła energii odnawialnej, większą samowystarczalność pod względem zasobów energetycznych. </w:t>
            </w:r>
          </w:p>
          <w:p w14:paraId="03DEECF8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przyzna 2 punkty w przypadku wykazania w budżecie projektu wydatków związanych z OZE.</w:t>
            </w:r>
          </w:p>
          <w:p w14:paraId="1A359946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przypadku gdy projekt nie zakłada wydatków związanych z OZE punkty nie zostaną przyznane.</w:t>
            </w:r>
          </w:p>
          <w:p w14:paraId="65819586" w14:textId="1545C83B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37522433" w14:textId="311F42F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17580AA5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65438F4B" w14:textId="279D0F6B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735" w:type="dxa"/>
          </w:tcPr>
          <w:p w14:paraId="6BDD171F" w14:textId="4F654D8B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7F5ADD14" w14:textId="77777777" w:rsidTr="00821EAA">
        <w:tc>
          <w:tcPr>
            <w:tcW w:w="639" w:type="dxa"/>
          </w:tcPr>
          <w:p w14:paraId="1F19AF20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7602150" w14:textId="7C5CA6E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</w:p>
        </w:tc>
        <w:tc>
          <w:tcPr>
            <w:tcW w:w="4028" w:type="dxa"/>
          </w:tcPr>
          <w:p w14:paraId="097B20B2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53A1F20D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czy planowane efekty projektu są proporcjonalne do planowanych do poniesienia lub zaangażowania nakładów inwestycyjnych, zasobów infrastrukturalnych, ludzkich, know-how – 0 lub 2 pkt,</w:t>
            </w:r>
          </w:p>
          <w:p w14:paraId="06CFCF11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projekt wpisuje się w regionalne specjalizacje technologiczne wskazane w Programie Rozwoju Technologii Województwa Śląskiego – 0 lub 2 pkt,</w:t>
            </w:r>
          </w:p>
          <w:p w14:paraId="6D4779B1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- czy projekt prowadzi do dywersyfikacji produkcji/ świadczenia usług zakładu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6"/>
            </w:r>
            <w:r w:rsidRPr="00442DCB">
              <w:rPr>
                <w:rFonts w:cstheme="minorHAnsi"/>
                <w:sz w:val="24"/>
                <w:szCs w:val="24"/>
              </w:rPr>
              <w:t xml:space="preserve"> i/lub zasadniczej zmiany procesu produkcji</w:t>
            </w:r>
            <w:r w:rsidRPr="00442DCB">
              <w:rPr>
                <w:rFonts w:cstheme="minorHAnsi"/>
                <w:sz w:val="24"/>
                <w:szCs w:val="24"/>
                <w:vertAlign w:val="superscript"/>
              </w:rPr>
              <w:footnoteReference w:id="7"/>
            </w:r>
            <w:r w:rsidRPr="00442DCB">
              <w:rPr>
                <w:rFonts w:cstheme="minorHAnsi"/>
                <w:sz w:val="24"/>
                <w:szCs w:val="24"/>
              </w:rPr>
              <w:t xml:space="preserve"> w przedsiębiorstwie – 0 lub 2 pkt,</w:t>
            </w:r>
          </w:p>
          <w:p w14:paraId="6A14762E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 Wnioskodawca zakłada wykorzystanie rozwiązań/doświadczeń zastosowanych w regionach górniczych (z innych Państw Członkowskich, kandydujących lub stowarzyszonych), które przechodziły lub przechodzą transformację - 1 pkt.  </w:t>
            </w:r>
          </w:p>
          <w:p w14:paraId="7DEAC6DC" w14:textId="2E06BEB8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32DBED18" w14:textId="6AC24ED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3B567913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3A237F45" w14:textId="7F6F9CE0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0-7</w:t>
            </w:r>
          </w:p>
        </w:tc>
        <w:tc>
          <w:tcPr>
            <w:tcW w:w="1735" w:type="dxa"/>
          </w:tcPr>
          <w:p w14:paraId="7ED653D4" w14:textId="77E22872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7BD9DEE3" w14:textId="77777777" w:rsidTr="00821EAA">
        <w:tc>
          <w:tcPr>
            <w:tcW w:w="639" w:type="dxa"/>
          </w:tcPr>
          <w:p w14:paraId="5BE04C37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46D8AEE0" w14:textId="3A368CF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 xml:space="preserve">Odejście od branży okołogórniczej </w:t>
            </w:r>
          </w:p>
        </w:tc>
        <w:tc>
          <w:tcPr>
            <w:tcW w:w="4028" w:type="dxa"/>
          </w:tcPr>
          <w:p w14:paraId="59CB64DB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zweryfikuje czy Wnioskodawca na dzień złożenia wniosku prowadzi działalność okołogórniczą, a projekt prowadzi do przebranżowienia skutkującego nowym rynkiem docelowym dla produktów/usług będących wynikiem projektu.</w:t>
            </w:r>
          </w:p>
          <w:p w14:paraId="6AE90012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Wnioskodawca działa w branży okołogórniczej</w:t>
            </w:r>
            <w:r w:rsidRPr="00442DCB">
              <w:rPr>
                <w:rStyle w:val="Odwoanieprzypisudolnego"/>
                <w:rFonts w:cstheme="minorHAnsi"/>
                <w:sz w:val="24"/>
                <w:szCs w:val="24"/>
              </w:rPr>
              <w:footnoteReference w:id="8"/>
            </w:r>
            <w:r w:rsidRPr="00442DCB">
              <w:rPr>
                <w:rFonts w:cstheme="minorHAnsi"/>
                <w:sz w:val="24"/>
                <w:szCs w:val="24"/>
              </w:rPr>
              <w:t xml:space="preserve"> jeżeli:</w:t>
            </w:r>
          </w:p>
          <w:p w14:paraId="07B49C91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dostarcza produkty oraz usługi dla sektora górniczego (w tym m.in. produkcja maszyn i urządzeń górniczych, dostawcy specjalistycznych materiałów, usługi napraw i konserwacji urządzeń górniczych,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dostawa wyrobów gumowych i tworzyw sztucznych) i usługi wspomagające górnictwo;</w:t>
            </w:r>
          </w:p>
          <w:p w14:paraId="36E71B0D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albo prowadzi działalność usługową lub handlową w bezpośredniej bliskości od aktywnie funkcjonujących na dzień złożenia wniosku kopalń i zakładów górniczych; </w:t>
            </w:r>
          </w:p>
          <w:p w14:paraId="5B059A49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Bezpośrednia bliskość oznacza zależność pomiędzy działalnością Wnioskodawcy a działalnością kopalni bądź zakładu górniczego ze względu na bezpośrednią bliskość – lokalizację. Bezpośrednia bliskość podlega ocenie przez oceniającego z uwzględnieniem lokalizacji kopalni bądź zakładu górniczego, profilu działalności prowadzonej przez Wnioskodawcę a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także jego konkurencji w ocenianej bliskiej odległości. </w:t>
            </w:r>
          </w:p>
          <w:p w14:paraId="00FCD730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albo prowadzi działalność w sektorze metalowym bądź jest wytwórcą energii elektrycznej lub ciepła w oparciu o dostawy węgla;</w:t>
            </w:r>
          </w:p>
          <w:p w14:paraId="7ED7F8CB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Ocena zostanie przeprowadzona w oparciu o zapisy wniosku o dofinansowanie. Wnioskodawca może zostać wezwany do dostarczenia dokumentów potwierdzających prowadzenie działalności w branży okołogórniczej. </w:t>
            </w:r>
          </w:p>
          <w:p w14:paraId="3E7071F8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Punkty zostaną przyznane gdy oceniający uzna, że Wnioskodawca prowadzi działalność w branży okołogórniczej, a projekt prowadzi do przebranżowienia skutkującego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nowym rynkiem docelowym dla produktów/usług będących wynikiem projektu.</w:t>
            </w:r>
          </w:p>
          <w:p w14:paraId="7AD0FD99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może przyznać 0 lub 5 pkt.</w:t>
            </w:r>
          </w:p>
          <w:p w14:paraId="01B99980" w14:textId="3E9DD3DD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484279F9" w14:textId="679173F4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 xml:space="preserve">Nie </w:t>
            </w:r>
          </w:p>
        </w:tc>
        <w:tc>
          <w:tcPr>
            <w:tcW w:w="1877" w:type="dxa"/>
          </w:tcPr>
          <w:p w14:paraId="521A3D9E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Punktowe </w:t>
            </w:r>
          </w:p>
          <w:p w14:paraId="394E2152" w14:textId="53BAB86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35" w:type="dxa"/>
          </w:tcPr>
          <w:p w14:paraId="05612BCC" w14:textId="3D4137B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3CAD12AB" w14:textId="77777777" w:rsidTr="00821EAA">
        <w:tc>
          <w:tcPr>
            <w:tcW w:w="639" w:type="dxa"/>
          </w:tcPr>
          <w:p w14:paraId="7048A9FD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2EAE551C" w14:textId="0A040BDB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4" w:name="_Hlk122684404"/>
            <w:r w:rsidRPr="00442DCB">
              <w:rPr>
                <w:rFonts w:cstheme="minorHAnsi"/>
                <w:sz w:val="24"/>
                <w:szCs w:val="24"/>
                <w:lang w:eastAsia="pl-PL"/>
              </w:rPr>
              <w:t>Miejsce realizacji w gminach wchodzących w skład OSI dla obszaru FST</w:t>
            </w:r>
            <w:bookmarkEnd w:id="4"/>
          </w:p>
        </w:tc>
        <w:tc>
          <w:tcPr>
            <w:tcW w:w="4028" w:type="dxa"/>
          </w:tcPr>
          <w:p w14:paraId="58477AE4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kryterium jest weryfikowane, czy dominujące miejsce realizacji projektu wskazane we wniosku o dofinansowanie będzie zlokalizowane na terenie gmin wchodzących w skład OSI dla obszaru FST. </w:t>
            </w:r>
          </w:p>
          <w:p w14:paraId="49426EB8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Lista gmin znajduje się w załączniku 1 do Terytorialnego Planu Sprawiedliwej Transformacji Województwa Śląskiego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2030 stanowiącego część programu FE SL 2021 – 2027 (aktualnym na dzień ogłoszenia naboru).</w:t>
            </w:r>
          </w:p>
          <w:p w14:paraId="149E6648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może przyznać 0  lub 5 pkt.</w:t>
            </w:r>
          </w:p>
          <w:p w14:paraId="7103D2EF" w14:textId="1BC69F0A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3AC00AC5" w14:textId="2DD01608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22E9EAC1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7469E96D" w14:textId="02DFAA4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35" w:type="dxa"/>
          </w:tcPr>
          <w:p w14:paraId="1E2CEDD7" w14:textId="59946086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Pierwsze kryterium rozstrzygające</w:t>
            </w:r>
          </w:p>
        </w:tc>
      </w:tr>
      <w:tr w:rsidR="00442DCB" w:rsidRPr="001B4B8C" w14:paraId="7F9445E9" w14:textId="77777777" w:rsidTr="00821EAA">
        <w:tc>
          <w:tcPr>
            <w:tcW w:w="639" w:type="dxa"/>
          </w:tcPr>
          <w:p w14:paraId="56B2017D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5EFEA50" w14:textId="2C47E2C1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Miejsce realizacji na terenach poprzemysłowych, w tym pogórniczych zgodnie z bazą OPI-TPP 2.0.</w:t>
            </w:r>
          </w:p>
        </w:tc>
        <w:tc>
          <w:tcPr>
            <w:tcW w:w="4028" w:type="dxa"/>
          </w:tcPr>
          <w:p w14:paraId="5CD2CA12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W kryterium jest weryfikowane, czy dominujące miejsce realizacji projektu wskazane we wniosku o dofinansowanie będzie zlokalizowane na terenach </w:t>
            </w:r>
            <w:r w:rsidRPr="00442DCB">
              <w:rPr>
                <w:rFonts w:cstheme="minorHAnsi"/>
                <w:sz w:val="24"/>
                <w:szCs w:val="24"/>
                <w:lang w:eastAsia="pl-PL"/>
              </w:rPr>
              <w:t xml:space="preserve">poprzemysłowych, w tym </w:t>
            </w:r>
            <w:r w:rsidRPr="00442DCB">
              <w:rPr>
                <w:rFonts w:cstheme="minorHAnsi"/>
                <w:sz w:val="24"/>
                <w:szCs w:val="24"/>
              </w:rPr>
              <w:t xml:space="preserve">pogórniczych figurujących w bazie danych OPI-TPP 2.0. Weryfikacja odbywa się w oparciu o aktualną na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moment przeprowadzenia oceny bazę OPI-TPP .</w:t>
            </w:r>
          </w:p>
          <w:p w14:paraId="1D9F0B14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może przyznać 0  lub 5 pkt.</w:t>
            </w:r>
          </w:p>
          <w:p w14:paraId="5FFCA0A1" w14:textId="7978BF60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79AB28B6" w14:textId="2852C02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09A2A928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3645C15C" w14:textId="4040293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35" w:type="dxa"/>
          </w:tcPr>
          <w:p w14:paraId="2D17A7FC" w14:textId="7879F9F8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Drugie kryterium rozstrzygające</w:t>
            </w:r>
          </w:p>
        </w:tc>
      </w:tr>
      <w:tr w:rsidR="00442DCB" w:rsidRPr="001B4B8C" w14:paraId="41F27A57" w14:textId="77777777" w:rsidTr="00821EAA">
        <w:tc>
          <w:tcPr>
            <w:tcW w:w="639" w:type="dxa"/>
          </w:tcPr>
          <w:p w14:paraId="764AF3E7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47BD34A" w14:textId="7A779AD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Komplementarność projektu</w:t>
            </w:r>
          </w:p>
        </w:tc>
        <w:tc>
          <w:tcPr>
            <w:tcW w:w="4028" w:type="dxa"/>
          </w:tcPr>
          <w:p w14:paraId="597D5FE9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Punkty przyznaje się w przypadku wykazania projektów komplementarnych funkcjonalnie na terenie tej samej gminy lub gminach ościennych zlokalizowanych w województwie śląskim, w </w:t>
            </w:r>
            <w:bookmarkStart w:id="5" w:name="_Hlk130806739"/>
            <w:r w:rsidRPr="00442DCB">
              <w:rPr>
                <w:rFonts w:cstheme="minorHAnsi"/>
                <w:sz w:val="24"/>
                <w:szCs w:val="24"/>
              </w:rPr>
              <w:t>7 podregionach</w:t>
            </w:r>
            <w:r w:rsidRPr="00442DCB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442DCB">
              <w:rPr>
                <w:rFonts w:cstheme="minorHAnsi"/>
                <w:sz w:val="24"/>
                <w:szCs w:val="24"/>
                <w:lang w:eastAsia="pl-PL"/>
              </w:rPr>
              <w:t xml:space="preserve">(katowickim, </w:t>
            </w:r>
            <w:r w:rsidRPr="00442DCB">
              <w:rPr>
                <w:rFonts w:cstheme="minorHAnsi"/>
                <w:sz w:val="24"/>
                <w:szCs w:val="24"/>
                <w:lang w:val="x-none" w:eastAsia="pl-PL"/>
              </w:rPr>
              <w:t xml:space="preserve">bielskim, tyskim, rybnickim, gliwickim, bytomskim </w:t>
            </w:r>
            <w:r w:rsidRPr="00442DCB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442DCB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</w:t>
            </w:r>
            <w:r w:rsidRPr="00442DCB">
              <w:rPr>
                <w:rFonts w:cstheme="minorHAnsi"/>
                <w:sz w:val="24"/>
                <w:szCs w:val="24"/>
                <w:lang w:eastAsia="pl-PL"/>
              </w:rPr>
              <w:t>)</w:t>
            </w:r>
            <w:bookmarkEnd w:id="5"/>
            <w:r w:rsidRPr="00442DCB">
              <w:rPr>
                <w:rFonts w:cstheme="minorHAnsi"/>
                <w:sz w:val="24"/>
                <w:szCs w:val="24"/>
              </w:rPr>
              <w:t>.</w:t>
            </w:r>
          </w:p>
          <w:p w14:paraId="39D55412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W ocenie uwzględnia się dominujące miejsce realizacji projektu.</w:t>
            </w:r>
          </w:p>
          <w:p w14:paraId="48071BFE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 ocenie uwzględnia się:</w:t>
            </w:r>
          </w:p>
          <w:p w14:paraId="53C9B6DD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projekty  planowane lub realizowane/zrealizowane przez sektor JST (zapisane w obowiązujących dokumentach gminy, takich jak strategia rozwoju lub gminny program rewitalizacji), </w:t>
            </w:r>
          </w:p>
          <w:p w14:paraId="7C792315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projekty realizowane lub projekty zrealizowane przez sektor przedsiębiorczości oraz sektor NGO.  </w:t>
            </w:r>
          </w:p>
          <w:p w14:paraId="4E43E4EC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0D6586CB" w14:textId="1DB21B29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0AF0C31C" w14:textId="54C8BD2C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340E338D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5179C6D6" w14:textId="1FDC77A6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735" w:type="dxa"/>
          </w:tcPr>
          <w:p w14:paraId="47CDEC63" w14:textId="67E6E375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42DCB" w:rsidRPr="001B4B8C" w14:paraId="58F8A263" w14:textId="77777777" w:rsidTr="00821EAA">
        <w:tc>
          <w:tcPr>
            <w:tcW w:w="639" w:type="dxa"/>
          </w:tcPr>
          <w:p w14:paraId="0E4C366C" w14:textId="77777777" w:rsidR="00442DCB" w:rsidRPr="00442DCB" w:rsidRDefault="00442DCB" w:rsidP="00442DCB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CD08668" w14:textId="1FB0FCA3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42DCB">
              <w:rPr>
                <w:rFonts w:cstheme="minorHAnsi"/>
                <w:sz w:val="24"/>
                <w:szCs w:val="24"/>
                <w:lang w:eastAsia="pl-PL"/>
              </w:rPr>
              <w:t>Wpływ projektu na gospodarkę regionu (US – rozliczenie w woj. Śląskim)</w:t>
            </w:r>
          </w:p>
        </w:tc>
        <w:tc>
          <w:tcPr>
            <w:tcW w:w="4028" w:type="dxa"/>
          </w:tcPr>
          <w:p w14:paraId="63D8B9BA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Projekty realizowane w ramach naboru powinny w jak największym stopniu przyczyniać się do rozwoju gospodarczego obszaru objętego wsparciem, np. poprzez zwiększanie bazy podatkowej. Mając na uwadze powyższe oraz uwzględniając miejscową właściwość organów podatkowych dla właściwego w przypadku Wnioskodawcy podatku dochodowego, ustaloną zgodnie z art. 17 Ustawy z dnia 29 sierpnia 1997 r. Ordynacja podatkowa (j.t. Dz.U. z 2017 r. poz. 201) punkty przyznawane są w następujący sposób:</w:t>
            </w:r>
          </w:p>
          <w:p w14:paraId="0C59FD79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− w przypadku, gdy dla Wnioskodawcy w zakresie podatku dochodowego właściwy miejscowo jest organ podatkowy z terenu województwa śląskiego – 5 pkt</w:t>
            </w:r>
          </w:p>
          <w:p w14:paraId="735DC9D2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− w przypadku, gdy dla Wnioskodawcy w zakresie podatku dochodowego właściwy miejscowo jest organ podatkowy spoza terenu województwa śląskiego – 0 pkt</w:t>
            </w:r>
          </w:p>
          <w:p w14:paraId="70146656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Weryfikacja odbywa się na podstawie:</w:t>
            </w:r>
          </w:p>
          <w:p w14:paraId="59A6E48E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- informacji we wniosku, w przypadku podmiotu, który dotychczas się nie sprawozdał (np. podmiotu nowopowstałego). Oceniający mogą wezwać Wnioskodawcę do dostarczenia dokumentu </w:t>
            </w:r>
            <w:r w:rsidRPr="00442DCB">
              <w:rPr>
                <w:rFonts w:cstheme="minorHAnsi"/>
                <w:sz w:val="24"/>
                <w:szCs w:val="24"/>
              </w:rPr>
              <w:lastRenderedPageBreak/>
              <w:t>potwierdzającego przedstawioną we wniosku informację;</w:t>
            </w:r>
          </w:p>
          <w:p w14:paraId="729B0A67" w14:textId="77777777" w:rsidR="00442DCB" w:rsidRPr="00442DCB" w:rsidRDefault="00442DCB" w:rsidP="00442DCB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- dokumentu sprawozdawczego za ostatni okres obrachunkowy w przypadku pozostałych Wnioskodawców.</w:t>
            </w:r>
          </w:p>
          <w:p w14:paraId="06C10DF7" w14:textId="40EB040F" w:rsidR="00442DCB" w:rsidRPr="00442DCB" w:rsidRDefault="00442DCB" w:rsidP="00442DCB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37416977" w14:textId="130789F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877" w:type="dxa"/>
          </w:tcPr>
          <w:p w14:paraId="2345A73F" w14:textId="77777777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punktowe</w:t>
            </w:r>
          </w:p>
          <w:p w14:paraId="6377BE90" w14:textId="422DEAC9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735" w:type="dxa"/>
          </w:tcPr>
          <w:p w14:paraId="03D68D55" w14:textId="7695051F" w:rsidR="00442DCB" w:rsidRPr="00442DCB" w:rsidRDefault="00442DCB" w:rsidP="00442DCB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24B6513A" w14:textId="7BDCBA77" w:rsidR="005B646C" w:rsidRPr="005B646C" w:rsidRDefault="005B646C" w:rsidP="00442DCB">
      <w:pPr>
        <w:tabs>
          <w:tab w:val="left" w:pos="11745"/>
        </w:tabs>
        <w:rPr>
          <w:rFonts w:asciiTheme="minorHAnsi" w:hAnsiTheme="minorHAnsi" w:cstheme="minorHAnsi"/>
          <w:sz w:val="24"/>
          <w:szCs w:val="24"/>
        </w:rPr>
      </w:pPr>
    </w:p>
    <w:sectPr w:rsidR="005B646C" w:rsidRPr="005B646C" w:rsidSect="004D434A">
      <w:footerReference w:type="default" r:id="rId16"/>
      <w:footerReference w:type="first" r:id="rId17"/>
      <w:pgSz w:w="16838" w:h="11906" w:orient="landscape"/>
      <w:pgMar w:top="130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8397D" w14:textId="77777777" w:rsidR="001766FD" w:rsidRDefault="001766FD" w:rsidP="009029B5">
      <w:pPr>
        <w:spacing w:after="0" w:line="240" w:lineRule="auto"/>
      </w:pPr>
      <w:r>
        <w:separator/>
      </w:r>
    </w:p>
  </w:endnote>
  <w:endnote w:type="continuationSeparator" w:id="0">
    <w:p w14:paraId="34667786" w14:textId="77777777" w:rsidR="001766FD" w:rsidRDefault="001766FD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2DEDD" w14:textId="77777777" w:rsidR="00442DCB" w:rsidRDefault="00442D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EFC774F" w14:textId="77777777" w:rsidR="00442DCB" w:rsidRDefault="00442D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899B8" w14:textId="6BE91DE0" w:rsidR="00442DCB" w:rsidRDefault="00442D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7310">
      <w:rPr>
        <w:noProof/>
      </w:rPr>
      <w:t>1</w:t>
    </w:r>
    <w:r>
      <w:fldChar w:fldCharType="end"/>
    </w:r>
  </w:p>
  <w:p w14:paraId="1B0DDC25" w14:textId="77777777" w:rsidR="00442DCB" w:rsidRDefault="00442D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7F032" w14:textId="77777777" w:rsidR="00374965" w:rsidRDefault="001766FD">
    <w:pPr>
      <w:pStyle w:val="Stopka"/>
    </w:pPr>
  </w:p>
  <w:p w14:paraId="727658CC" w14:textId="5875B0CB" w:rsidR="00374965" w:rsidRDefault="00442DCB" w:rsidP="0087775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60C3EA7" wp14:editId="0ECC5D85">
          <wp:extent cx="5755005" cy="420370"/>
          <wp:effectExtent l="0" t="0" r="0" b="0"/>
          <wp:docPr id="249050687" name="Obraz 249050687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6A5BE" w14:textId="41672944" w:rsidR="004D434A" w:rsidRDefault="004D434A" w:rsidP="004D434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A6EDBF" wp14:editId="22AE646D">
          <wp:extent cx="5755005" cy="420370"/>
          <wp:effectExtent l="0" t="0" r="0" b="0"/>
          <wp:docPr id="93769351" name="Obraz 9376935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18649" w14:textId="77777777" w:rsidR="001766FD" w:rsidRDefault="001766FD" w:rsidP="009029B5">
      <w:pPr>
        <w:spacing w:after="0" w:line="240" w:lineRule="auto"/>
      </w:pPr>
      <w:r>
        <w:separator/>
      </w:r>
    </w:p>
  </w:footnote>
  <w:footnote w:type="continuationSeparator" w:id="0">
    <w:p w14:paraId="2C9ADC13" w14:textId="77777777" w:rsidR="001766FD" w:rsidRDefault="001766FD" w:rsidP="009029B5">
      <w:pPr>
        <w:spacing w:after="0" w:line="240" w:lineRule="auto"/>
      </w:pPr>
      <w:r>
        <w:continuationSeparator/>
      </w:r>
    </w:p>
  </w:footnote>
  <w:footnote w:id="1">
    <w:p w14:paraId="218B611E" w14:textId="77777777" w:rsidR="00134924" w:rsidRDefault="00134924">
      <w:pPr>
        <w:pStyle w:val="Tekstprzypisudolnego"/>
      </w:pPr>
      <w:r>
        <w:rPr>
          <w:rStyle w:val="Odwoanieprzypisudolnego"/>
        </w:rPr>
        <w:footnoteRef/>
      </w:r>
      <w:r>
        <w:t xml:space="preserve"> Wskazywanie wydatków kwalifikowalnych w ramach kwot ryczałtowych ma miejsce wyłącznie w sytuacji gdy nabór uwzględni rozliczanie projektów metodą uproszczoną – kwotami ryczałtowymi.  Ocenie podlegają wszystkie wydatki wykazywane jako kwalifikowalne niezależnie od sposobu ich wykazania.  </w:t>
      </w:r>
    </w:p>
  </w:footnote>
  <w:footnote w:id="2">
    <w:p w14:paraId="1AEBC000" w14:textId="77777777" w:rsidR="00442DCB" w:rsidRPr="004D3B1A" w:rsidRDefault="00442DCB" w:rsidP="00785D81">
      <w:pPr>
        <w:spacing w:after="0" w:line="240" w:lineRule="auto"/>
        <w:rPr>
          <w:rFonts w:cs="Calibri"/>
          <w:sz w:val="18"/>
          <w:szCs w:val="18"/>
        </w:rPr>
      </w:pPr>
      <w:r w:rsidRPr="4054B14F">
        <w:rPr>
          <w:vertAlign w:val="superscript"/>
        </w:rPr>
        <w:footnoteRef/>
      </w:r>
      <w:r>
        <w:t xml:space="preserve"> </w:t>
      </w:r>
      <w:r w:rsidRPr="004D3B1A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61318B3A" w14:textId="77777777" w:rsidR="00442DCB" w:rsidRPr="004D3B1A" w:rsidRDefault="00442DCB" w:rsidP="00785D81">
      <w:pPr>
        <w:spacing w:after="0"/>
        <w:rPr>
          <w:sz w:val="18"/>
          <w:szCs w:val="18"/>
        </w:rPr>
      </w:pPr>
      <w:r w:rsidRPr="004D3B1A">
        <w:rPr>
          <w:sz w:val="18"/>
          <w:szCs w:val="18"/>
          <w:vertAlign w:val="superscript"/>
        </w:rPr>
        <w:footnoteRef/>
      </w:r>
      <w:r w:rsidRPr="004D3B1A">
        <w:rPr>
          <w:sz w:val="18"/>
          <w:szCs w:val="18"/>
        </w:rPr>
        <w:t xml:space="preserve"> </w:t>
      </w:r>
      <w:r w:rsidRPr="004D3B1A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44B717FF" w14:textId="77777777" w:rsidR="00442DCB" w:rsidRDefault="00442DCB" w:rsidP="00785D81">
      <w:pPr>
        <w:spacing w:after="0"/>
      </w:pPr>
      <w:r>
        <w:rPr>
          <w:sz w:val="18"/>
          <w:szCs w:val="18"/>
          <w:vertAlign w:val="superscript"/>
        </w:rPr>
        <w:t xml:space="preserve">3 </w:t>
      </w:r>
      <w:r w:rsidRPr="004D3B1A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  <w:footnote w:id="5">
    <w:p w14:paraId="398C3E07" w14:textId="77777777" w:rsidR="00442DCB" w:rsidRPr="00552E08" w:rsidRDefault="00442DCB" w:rsidP="00435F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3274">
        <w:t>Gospodarka Obiegu Zamkniętego - regeneracyjny system gospodarczy, w którym minimalizuje się zużycie surowców i wielkość odpadów oraz emisję i utraty energii poprzez tworzenie zamkniętej pętli procesów, w których odpady z jednych procesów są wykorzystywane jako surowce dla innych, co maksymalnie zmniejsza ilość odpadów produkcyjnych (za pw.edu.pl).</w:t>
      </w:r>
    </w:p>
  </w:footnote>
  <w:footnote w:id="6">
    <w:p w14:paraId="53CF63EC" w14:textId="77777777" w:rsidR="00442DCB" w:rsidRPr="00074668" w:rsidRDefault="00442DCB" w:rsidP="00435F1E">
      <w:pPr>
        <w:pStyle w:val="Tekstprzypisudolnego"/>
      </w:pPr>
      <w:r>
        <w:rPr>
          <w:rStyle w:val="Odwoanieprzypisudolnego"/>
        </w:rPr>
        <w:footnoteRef/>
      </w:r>
      <w:r>
        <w:t xml:space="preserve"> oznacza wprowadzenie produktów/usług dotąd niewytwarzanych/nieświadczonych przez Wnioskodawcę, zarówno nowych jak i ulepszonych.</w:t>
      </w:r>
    </w:p>
  </w:footnote>
  <w:footnote w:id="7">
    <w:p w14:paraId="56392EB9" w14:textId="77777777" w:rsidR="00442DCB" w:rsidRPr="00074668" w:rsidRDefault="00442DCB" w:rsidP="00435F1E">
      <w:pPr>
        <w:pStyle w:val="Tekstprzypisudolnego"/>
      </w:pPr>
      <w:r>
        <w:rPr>
          <w:rStyle w:val="Odwoanieprzypisudolnego"/>
        </w:rPr>
        <w:footnoteRef/>
      </w:r>
      <w:r>
        <w:t xml:space="preserve"> oznacza </w:t>
      </w:r>
      <w:r w:rsidRPr="00401A15">
        <w:t>wprowadzenie nowego rozwiązania technologicznego lub organizacyjnego zasadniczo odmiennego od stosowanego dotychczas</w:t>
      </w:r>
      <w:r>
        <w:t>.</w:t>
      </w:r>
    </w:p>
  </w:footnote>
  <w:footnote w:id="8">
    <w:p w14:paraId="47D593BC" w14:textId="77777777" w:rsidR="00442DCB" w:rsidRPr="00705DF5" w:rsidRDefault="00442DCB" w:rsidP="00823E2E">
      <w:pPr>
        <w:pStyle w:val="Tekstprzypisudolnego"/>
      </w:pPr>
      <w:r>
        <w:rPr>
          <w:rStyle w:val="Odwoanieprzypisudolnego"/>
        </w:rPr>
        <w:footnoteRef/>
      </w:r>
      <w:r>
        <w:t xml:space="preserve"> Zgodnie z ekspertyzą </w:t>
      </w:r>
      <w:r>
        <w:rPr>
          <w:i/>
          <w:iCs/>
        </w:rPr>
        <w:t xml:space="preserve">Sytuacja Przedsiębiorstw okołogórniczych w Polsce </w:t>
      </w:r>
      <w:r>
        <w:t>opracowaną przez Uniwersytet Ekonomiczny w Katowicach, grudzień 2020r.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265ED" w14:textId="77777777" w:rsidR="00442DCB" w:rsidRDefault="00442D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01E6B" w14:textId="77777777" w:rsidR="00442DCB" w:rsidRDefault="00442DCB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1A1501"/>
    <w:multiLevelType w:val="hybridMultilevel"/>
    <w:tmpl w:val="15D85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A34"/>
    <w:multiLevelType w:val="hybridMultilevel"/>
    <w:tmpl w:val="A754E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30D"/>
    <w:multiLevelType w:val="hybridMultilevel"/>
    <w:tmpl w:val="48BCD276"/>
    <w:lvl w:ilvl="0" w:tplc="96A0ED88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 w15:restartNumberingAfterBreak="0">
    <w:nsid w:val="14891157"/>
    <w:multiLevelType w:val="hybridMultilevel"/>
    <w:tmpl w:val="A04873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42CB8"/>
    <w:multiLevelType w:val="hybridMultilevel"/>
    <w:tmpl w:val="B0F41AB4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0" w15:restartNumberingAfterBreak="0">
    <w:nsid w:val="2A070BAE"/>
    <w:multiLevelType w:val="hybridMultilevel"/>
    <w:tmpl w:val="45D69380"/>
    <w:lvl w:ilvl="0" w:tplc="FBDCAA12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11" w15:restartNumberingAfterBreak="0">
    <w:nsid w:val="30835684"/>
    <w:multiLevelType w:val="hybridMultilevel"/>
    <w:tmpl w:val="E772BC10"/>
    <w:lvl w:ilvl="0" w:tplc="5EDEF8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36139"/>
    <w:multiLevelType w:val="hybridMultilevel"/>
    <w:tmpl w:val="32E28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2390F"/>
    <w:multiLevelType w:val="hybridMultilevel"/>
    <w:tmpl w:val="4FA4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937E6"/>
    <w:multiLevelType w:val="hybridMultilevel"/>
    <w:tmpl w:val="F982B0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70EE9"/>
    <w:multiLevelType w:val="hybridMultilevel"/>
    <w:tmpl w:val="7A0200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12"/>
  </w:num>
  <w:num w:numId="8">
    <w:abstractNumId w:val="20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22"/>
  </w:num>
  <w:num w:numId="14">
    <w:abstractNumId w:val="18"/>
  </w:num>
  <w:num w:numId="15">
    <w:abstractNumId w:val="15"/>
  </w:num>
  <w:num w:numId="16">
    <w:abstractNumId w:val="9"/>
  </w:num>
  <w:num w:numId="17">
    <w:abstractNumId w:val="13"/>
  </w:num>
  <w:num w:numId="18">
    <w:abstractNumId w:val="16"/>
  </w:num>
  <w:num w:numId="19">
    <w:abstractNumId w:val="24"/>
  </w:num>
  <w:num w:numId="20">
    <w:abstractNumId w:val="1"/>
  </w:num>
  <w:num w:numId="21">
    <w:abstractNumId w:val="4"/>
  </w:num>
  <w:num w:numId="22">
    <w:abstractNumId w:val="23"/>
  </w:num>
  <w:num w:numId="23">
    <w:abstractNumId w:val="19"/>
  </w:num>
  <w:num w:numId="24">
    <w:abstractNumId w:val="6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84BB3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34924"/>
    <w:rsid w:val="00153D3F"/>
    <w:rsid w:val="001636F5"/>
    <w:rsid w:val="001733F6"/>
    <w:rsid w:val="00174B15"/>
    <w:rsid w:val="001766FD"/>
    <w:rsid w:val="00197F09"/>
    <w:rsid w:val="001A3C70"/>
    <w:rsid w:val="001B4B8C"/>
    <w:rsid w:val="001C6C71"/>
    <w:rsid w:val="001D404C"/>
    <w:rsid w:val="001D4DF1"/>
    <w:rsid w:val="001E16F4"/>
    <w:rsid w:val="001F5F7A"/>
    <w:rsid w:val="001F7B35"/>
    <w:rsid w:val="00203C43"/>
    <w:rsid w:val="00217B2A"/>
    <w:rsid w:val="0023555D"/>
    <w:rsid w:val="002426B9"/>
    <w:rsid w:val="00245036"/>
    <w:rsid w:val="00251BCB"/>
    <w:rsid w:val="00264C43"/>
    <w:rsid w:val="002672DA"/>
    <w:rsid w:val="0029122B"/>
    <w:rsid w:val="002943FA"/>
    <w:rsid w:val="002A3FA9"/>
    <w:rsid w:val="002A7274"/>
    <w:rsid w:val="002A7A09"/>
    <w:rsid w:val="002B0AE7"/>
    <w:rsid w:val="002B7351"/>
    <w:rsid w:val="002E540D"/>
    <w:rsid w:val="002F08C6"/>
    <w:rsid w:val="002F453A"/>
    <w:rsid w:val="002F6FC2"/>
    <w:rsid w:val="00304028"/>
    <w:rsid w:val="0030695E"/>
    <w:rsid w:val="00306CD4"/>
    <w:rsid w:val="00307022"/>
    <w:rsid w:val="0031245C"/>
    <w:rsid w:val="003137E0"/>
    <w:rsid w:val="00314C8C"/>
    <w:rsid w:val="00323331"/>
    <w:rsid w:val="00337C98"/>
    <w:rsid w:val="00353112"/>
    <w:rsid w:val="00367A56"/>
    <w:rsid w:val="00370AD8"/>
    <w:rsid w:val="00373B85"/>
    <w:rsid w:val="0037477A"/>
    <w:rsid w:val="003765D9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2DCB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D29F5"/>
    <w:rsid w:val="004D434A"/>
    <w:rsid w:val="004E78D3"/>
    <w:rsid w:val="004F722F"/>
    <w:rsid w:val="00516E84"/>
    <w:rsid w:val="00522101"/>
    <w:rsid w:val="00530452"/>
    <w:rsid w:val="00533263"/>
    <w:rsid w:val="00541040"/>
    <w:rsid w:val="005465A2"/>
    <w:rsid w:val="00547E53"/>
    <w:rsid w:val="005570A7"/>
    <w:rsid w:val="00557EDC"/>
    <w:rsid w:val="005A1ED6"/>
    <w:rsid w:val="005B6314"/>
    <w:rsid w:val="005B646C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19F3"/>
    <w:rsid w:val="00695047"/>
    <w:rsid w:val="00696702"/>
    <w:rsid w:val="006A0D11"/>
    <w:rsid w:val="006C2223"/>
    <w:rsid w:val="006C7224"/>
    <w:rsid w:val="006D7D81"/>
    <w:rsid w:val="006E3046"/>
    <w:rsid w:val="006E6A1B"/>
    <w:rsid w:val="006F5F71"/>
    <w:rsid w:val="00706CB6"/>
    <w:rsid w:val="0073510F"/>
    <w:rsid w:val="007477BE"/>
    <w:rsid w:val="007536C1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B7928"/>
    <w:rsid w:val="007D1288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40FB"/>
    <w:rsid w:val="008667D5"/>
    <w:rsid w:val="00870F0E"/>
    <w:rsid w:val="00880842"/>
    <w:rsid w:val="0088104F"/>
    <w:rsid w:val="008816B7"/>
    <w:rsid w:val="008838CC"/>
    <w:rsid w:val="00884232"/>
    <w:rsid w:val="008904C2"/>
    <w:rsid w:val="00892455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15A24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000A2"/>
    <w:rsid w:val="00A106C0"/>
    <w:rsid w:val="00A22E9B"/>
    <w:rsid w:val="00A243AE"/>
    <w:rsid w:val="00A27313"/>
    <w:rsid w:val="00A527E6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AD4D4C"/>
    <w:rsid w:val="00AE7310"/>
    <w:rsid w:val="00B01329"/>
    <w:rsid w:val="00B028B9"/>
    <w:rsid w:val="00B12BE4"/>
    <w:rsid w:val="00B229CD"/>
    <w:rsid w:val="00B43304"/>
    <w:rsid w:val="00B51B92"/>
    <w:rsid w:val="00B617F0"/>
    <w:rsid w:val="00B65021"/>
    <w:rsid w:val="00B91CA4"/>
    <w:rsid w:val="00B92C2F"/>
    <w:rsid w:val="00B94144"/>
    <w:rsid w:val="00BA1227"/>
    <w:rsid w:val="00BA66A6"/>
    <w:rsid w:val="00BC0F23"/>
    <w:rsid w:val="00BC6977"/>
    <w:rsid w:val="00BC7585"/>
    <w:rsid w:val="00BD6A3E"/>
    <w:rsid w:val="00BE3447"/>
    <w:rsid w:val="00BF4FA1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529"/>
    <w:rsid w:val="00D028E9"/>
    <w:rsid w:val="00D0340B"/>
    <w:rsid w:val="00D104F6"/>
    <w:rsid w:val="00D22D09"/>
    <w:rsid w:val="00D314B5"/>
    <w:rsid w:val="00D40D80"/>
    <w:rsid w:val="00D56AB9"/>
    <w:rsid w:val="00D65C47"/>
    <w:rsid w:val="00D72220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B40A1"/>
    <w:rsid w:val="00DC33D0"/>
    <w:rsid w:val="00DD61F6"/>
    <w:rsid w:val="00DE2650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45365"/>
    <w:rsid w:val="00E45790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EF68DC"/>
    <w:rsid w:val="00F128FF"/>
    <w:rsid w:val="00F15B78"/>
    <w:rsid w:val="00F16CB4"/>
    <w:rsid w:val="00F22631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47BB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434A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434A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E457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E45790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E4579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0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0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0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434A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D434A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FFC077-8B2A-4065-826D-F6BE6D67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6213</Words>
  <Characters>37279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FE SL 2021-2027 Działanie 10.04. Wsparcie dużych przedsiębiorstw na rzecz transformacji</vt:lpstr>
    </vt:vector>
  </TitlesOfParts>
  <Company/>
  <LinksUpToDate>false</LinksUpToDate>
  <CharactersWithSpaces>43406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10.04. Wsparcie dużych przedsiębiorstw na rzecz transformacji</dc:title>
  <dc:subject/>
  <dc:creator>Woźniak Anna</dc:creator>
  <cp:keywords/>
  <cp:lastModifiedBy>Brodzka Magdalena</cp:lastModifiedBy>
  <cp:revision>3</cp:revision>
  <cp:lastPrinted>2022-04-15T07:22:00Z</cp:lastPrinted>
  <dcterms:created xsi:type="dcterms:W3CDTF">2023-06-07T05:04:00Z</dcterms:created>
  <dcterms:modified xsi:type="dcterms:W3CDTF">2023-06-07T05:04:00Z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