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067" w:type="dxa"/>
        <w:tblInd w:w="-5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2014"/>
        <w:gridCol w:w="2367"/>
        <w:gridCol w:w="37"/>
      </w:tblGrid>
      <w:tr w:rsidR="00B000BE" w:rsidRPr="002155D8" w14:paraId="42F82E97" w14:textId="77777777" w:rsidTr="00E91589">
        <w:trPr>
          <w:trHeight w:val="1417"/>
        </w:trPr>
        <w:tc>
          <w:tcPr>
            <w:tcW w:w="9067" w:type="dxa"/>
            <w:gridSpan w:val="4"/>
          </w:tcPr>
          <w:p w14:paraId="743F7F01" w14:textId="4B1ECACD" w:rsidR="00384EAB" w:rsidRPr="002C6B6E" w:rsidRDefault="00B000BE" w:rsidP="002C6B6E">
            <w:pPr>
              <w:rPr>
                <w:rFonts w:ascii="Arial" w:hAnsi="Arial" w:cs="Arial"/>
                <w:i/>
                <w:iCs/>
              </w:rPr>
            </w:pPr>
            <w:r w:rsidRPr="002C6B6E">
              <w:rPr>
                <w:rFonts w:ascii="Arial" w:eastAsia="Calibri" w:hAnsi="Arial" w:cs="Arial"/>
                <w:i/>
                <w:iCs/>
                <w:smallCaps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203FFB" wp14:editId="1FFBEDD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25400</wp:posOffset>
                  </wp:positionV>
                  <wp:extent cx="5746115" cy="563880"/>
                  <wp:effectExtent l="0" t="0" r="6985" b="7620"/>
                  <wp:wrapSquare wrapText="bothSides"/>
                  <wp:docPr id="16" name="Obraz 16" descr="Ciąg logotypów: Fundusze Europejskie - Program Regionalny; Rzeczpospolita Polska, Województwo Śląskie; Unia Europejska - Europejskie Fundusze Strukturalne i Inwestycyjne" title="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 16" descr="Ciąg logotypów: Fundusze Europejskie - Program Regionalny; Rzeczpospolita Polska, Województwo Śląskie; Unia Europejska - Europejskie Fundusze Strukturalne i Inwestycyj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115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6B6E">
              <w:rPr>
                <w:rStyle w:val="markedcontent"/>
                <w:rFonts w:ascii="Arial" w:hAnsi="Arial" w:cs="Arial"/>
                <w:i/>
                <w:iCs/>
              </w:rPr>
              <w:t>Projekt współfinansowany przez Unię Europejską ze środków Europejskiego Funduszu Społecznego w ramach Regionalnego Programu Operacyjnego Województwa Śląskiego na lata</w:t>
            </w:r>
            <w:r w:rsidR="002C6B6E">
              <w:rPr>
                <w:rStyle w:val="markedcontent"/>
                <w:rFonts w:ascii="Arial" w:hAnsi="Arial" w:cs="Arial"/>
                <w:i/>
                <w:iCs/>
              </w:rPr>
              <w:t xml:space="preserve"> </w:t>
            </w:r>
            <w:r w:rsidRPr="002C6B6E">
              <w:rPr>
                <w:rStyle w:val="markedcontent"/>
                <w:rFonts w:ascii="Arial" w:hAnsi="Arial" w:cs="Arial"/>
                <w:i/>
                <w:iCs/>
              </w:rPr>
              <w:t>2014-2020</w:t>
            </w:r>
          </w:p>
        </w:tc>
      </w:tr>
      <w:tr w:rsidR="002C6B6E" w:rsidRPr="002155D8" w14:paraId="5C42BD87" w14:textId="77777777" w:rsidTr="00A25FD7">
        <w:trPr>
          <w:trHeight w:val="1267"/>
        </w:trPr>
        <w:tc>
          <w:tcPr>
            <w:tcW w:w="9067" w:type="dxa"/>
            <w:gridSpan w:val="4"/>
            <w:shd w:val="clear" w:color="auto" w:fill="EDEDED" w:themeFill="accent3" w:themeFillTint="33"/>
            <w:vAlign w:val="center"/>
          </w:tcPr>
          <w:p w14:paraId="499B8871" w14:textId="77777777" w:rsidR="00441A8C" w:rsidRDefault="00441A8C" w:rsidP="002C6B6E">
            <w:pPr>
              <w:contextualSpacing/>
              <w:rPr>
                <w:rFonts w:ascii="Arial" w:hAnsi="Arial" w:cs="Arial"/>
                <w:b/>
                <w:bCs/>
                <w:smallCaps/>
                <w:lang w:eastAsia="ja-JP"/>
              </w:rPr>
            </w:pPr>
          </w:p>
          <w:p w14:paraId="0047C9CC" w14:textId="7482664D" w:rsidR="002C6B6E" w:rsidRPr="002C6B6E" w:rsidRDefault="00441A8C" w:rsidP="002C6B6E">
            <w:pPr>
              <w:contextualSpacing/>
              <w:rPr>
                <w:rFonts w:ascii="Arial" w:hAnsi="Arial" w:cs="Arial"/>
                <w:b/>
                <w:bCs/>
                <w:smallCaps/>
                <w:lang w:eastAsia="ja-JP"/>
              </w:rPr>
            </w:pPr>
            <w:r w:rsidRPr="002C6B6E">
              <w:rPr>
                <w:rFonts w:ascii="Arial" w:hAnsi="Arial" w:cs="Arial"/>
                <w:b/>
                <w:bCs/>
                <w:smallCaps/>
                <w:lang w:eastAsia="ja-JP"/>
              </w:rPr>
              <w:t xml:space="preserve">EWALUACJA DOTYCZĄCA SPOSOBU, W JAKI WSPARCIE W RAMACH RPO WSL NA LATA 2014-2020 PRZYCZYNIŁO SIĘ DO OSIĄGNIĘCIA CELÓW W RAMACH </w:t>
            </w:r>
            <w:r w:rsidRPr="002C6B6E">
              <w:rPr>
                <w:rFonts w:ascii="Arial" w:hAnsi="Arial" w:cs="Arial"/>
                <w:b/>
                <w:bCs/>
                <w:smallCaps/>
                <w:lang w:eastAsia="ja-JP"/>
              </w:rPr>
              <w:br/>
              <w:t>OSI PRIORYTETOWEJ I NOWOCZESNA GOSPODARKA</w:t>
            </w:r>
          </w:p>
          <w:p w14:paraId="2BF3E4BD" w14:textId="77777777" w:rsidR="002C6B6E" w:rsidRDefault="002C6B6E" w:rsidP="002C6B6E">
            <w:pPr>
              <w:spacing w:line="259" w:lineRule="auto"/>
              <w:rPr>
                <w:rFonts w:ascii="Arial" w:hAnsi="Arial" w:cs="Arial"/>
                <w:b/>
                <w:bCs/>
                <w:smallCaps/>
                <w:lang w:eastAsia="ja-JP"/>
              </w:rPr>
            </w:pPr>
          </w:p>
          <w:p w14:paraId="2B00E44A" w14:textId="5D15584C" w:rsidR="002C6B6E" w:rsidRPr="002C6B6E" w:rsidRDefault="002C6B6E" w:rsidP="002C6B6E">
            <w:pPr>
              <w:spacing w:line="259" w:lineRule="auto"/>
              <w:rPr>
                <w:rFonts w:ascii="Arial" w:hAnsi="Arial" w:cs="Arial"/>
                <w:b/>
                <w:bCs/>
                <w:smallCaps/>
                <w:lang w:eastAsia="ja-JP"/>
              </w:rPr>
            </w:pPr>
            <w:r w:rsidRPr="002C6B6E">
              <w:rPr>
                <w:rFonts w:ascii="Arial" w:hAnsi="Arial" w:cs="Arial"/>
                <w:b/>
                <w:bCs/>
                <w:smallCaps/>
                <w:lang w:eastAsia="ja-JP"/>
              </w:rPr>
              <w:t>WYBRANE WYNIKI BADANIA</w:t>
            </w:r>
          </w:p>
        </w:tc>
      </w:tr>
      <w:tr w:rsidR="002C6B6E" w:rsidRPr="002155D8" w14:paraId="015BD0CF" w14:textId="77777777" w:rsidTr="002C6B6E">
        <w:trPr>
          <w:gridAfter w:val="1"/>
          <w:wAfter w:w="37" w:type="dxa"/>
          <w:trHeight w:val="1816"/>
        </w:trPr>
        <w:tc>
          <w:tcPr>
            <w:tcW w:w="4649" w:type="dxa"/>
            <w:shd w:val="clear" w:color="auto" w:fill="FFFF66"/>
            <w:vAlign w:val="center"/>
          </w:tcPr>
          <w:p w14:paraId="469AFAA8" w14:textId="77777777" w:rsidR="002C6B6E" w:rsidRDefault="002C6B6E" w:rsidP="002C6B6E">
            <w:pPr>
              <w:contextualSpacing/>
              <w:rPr>
                <w:rFonts w:ascii="Arial" w:hAnsi="Arial" w:cs="Arial"/>
                <w:b/>
                <w:bCs/>
                <w:smallCaps/>
                <w:lang w:eastAsia="ja-JP"/>
              </w:rPr>
            </w:pPr>
          </w:p>
          <w:p w14:paraId="13AAF361" w14:textId="27D87FAE" w:rsidR="002C6B6E" w:rsidRPr="00441A8C" w:rsidRDefault="00441A8C" w:rsidP="002C6B6E">
            <w:pPr>
              <w:contextualSpacing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441A8C">
              <w:rPr>
                <w:rFonts w:ascii="Arial" w:hAnsi="Arial" w:cs="Arial"/>
                <w:b/>
                <w:bCs/>
                <w:smallCaps/>
                <w:sz w:val="24"/>
                <w:szCs w:val="24"/>
                <w:lang w:eastAsia="ja-JP"/>
              </w:rPr>
              <w:t xml:space="preserve">ZAKRES WSPARCIA: </w:t>
            </w:r>
          </w:p>
          <w:p w14:paraId="5A450701" w14:textId="78EF6963" w:rsidR="002C6B6E" w:rsidRPr="002C6B6E" w:rsidRDefault="002C6B6E" w:rsidP="002C6B6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cs="Arial"/>
                <w:szCs w:val="22"/>
                <w:lang w:eastAsia="ja-JP"/>
              </w:rPr>
            </w:pPr>
            <w:r w:rsidRPr="002C6B6E">
              <w:rPr>
                <w:rFonts w:cs="Arial"/>
                <w:szCs w:val="22"/>
                <w:lang w:eastAsia="ja-JP"/>
              </w:rPr>
              <w:t xml:space="preserve">Kluczowa dla regionu infrastruktura badawcza. [Działanie 1.1]  </w:t>
            </w:r>
          </w:p>
          <w:p w14:paraId="252A8B34" w14:textId="77777777" w:rsidR="002C6B6E" w:rsidRPr="002C6B6E" w:rsidRDefault="002C6B6E" w:rsidP="002C6B6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cs="Arial"/>
                <w:szCs w:val="22"/>
                <w:lang w:eastAsia="ja-JP"/>
              </w:rPr>
            </w:pPr>
            <w:r w:rsidRPr="002C6B6E">
              <w:rPr>
                <w:rFonts w:cs="Arial"/>
                <w:szCs w:val="22"/>
                <w:lang w:eastAsia="ja-JP"/>
              </w:rPr>
              <w:t xml:space="preserve">Badania, rozwój i innowacje w przedsiębiorstwach [Działanie 1.2] </w:t>
            </w:r>
          </w:p>
          <w:p w14:paraId="6C2B1B8F" w14:textId="77777777" w:rsidR="002C6B6E" w:rsidRPr="002C6B6E" w:rsidRDefault="002C6B6E" w:rsidP="002C6B6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cs="Arial"/>
                <w:szCs w:val="22"/>
                <w:lang w:eastAsia="ja-JP"/>
              </w:rPr>
            </w:pPr>
            <w:r w:rsidRPr="002C6B6E">
              <w:rPr>
                <w:rFonts w:cs="Arial"/>
                <w:szCs w:val="22"/>
                <w:lang w:eastAsia="ja-JP"/>
              </w:rPr>
              <w:t xml:space="preserve">Profesjonalizacja IOB [Działanie 1.3] </w:t>
            </w:r>
          </w:p>
          <w:p w14:paraId="4CCD3CB4" w14:textId="77777777" w:rsidR="002C6B6E" w:rsidRPr="002C6B6E" w:rsidRDefault="002C6B6E" w:rsidP="002C6B6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cs="Arial"/>
                <w:szCs w:val="22"/>
                <w:lang w:eastAsia="ja-JP"/>
              </w:rPr>
            </w:pPr>
            <w:r w:rsidRPr="002C6B6E">
              <w:rPr>
                <w:rFonts w:cs="Arial"/>
                <w:szCs w:val="22"/>
                <w:lang w:eastAsia="ja-JP"/>
              </w:rPr>
              <w:t>Wsparcie ekosystemu innowacji [Działanie 1.4]</w:t>
            </w:r>
          </w:p>
          <w:p w14:paraId="6DE8FA3E" w14:textId="7D2E875D" w:rsidR="002C6B6E" w:rsidRPr="002C6B6E" w:rsidRDefault="002C6B6E" w:rsidP="002C6B6E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4381" w:type="dxa"/>
            <w:gridSpan w:val="2"/>
            <w:shd w:val="clear" w:color="auto" w:fill="FFFF66"/>
            <w:vAlign w:val="center"/>
          </w:tcPr>
          <w:p w14:paraId="2AD331F2" w14:textId="400D86C8" w:rsidR="002C6B6E" w:rsidRPr="00441A8C" w:rsidRDefault="00441A8C" w:rsidP="002C6B6E">
            <w:pPr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441A8C">
              <w:rPr>
                <w:rFonts w:ascii="Arial" w:hAnsi="Arial" w:cs="Arial"/>
                <w:b/>
                <w:bCs/>
                <w:smallCaps/>
                <w:sz w:val="24"/>
                <w:szCs w:val="24"/>
                <w:lang w:eastAsia="ja-JP"/>
              </w:rPr>
              <w:t>KLUCZOWE EFEKTY</w:t>
            </w:r>
            <w:r>
              <w:rPr>
                <w:rFonts w:ascii="Arial" w:hAnsi="Arial" w:cs="Arial"/>
                <w:sz w:val="24"/>
                <w:szCs w:val="24"/>
                <w:lang w:eastAsia="ja-JP"/>
              </w:rPr>
              <w:t>:</w:t>
            </w:r>
          </w:p>
          <w:p w14:paraId="3FE3A326" w14:textId="11D17906" w:rsidR="002C6B6E" w:rsidRPr="002C6B6E" w:rsidRDefault="002C6B6E" w:rsidP="002C6B6E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270" w:hanging="270"/>
              <w:jc w:val="left"/>
              <w:rPr>
                <w:rFonts w:cs="Arial"/>
                <w:szCs w:val="22"/>
                <w:lang w:eastAsia="ja-JP"/>
              </w:rPr>
            </w:pPr>
            <w:r w:rsidRPr="002C6B6E">
              <w:rPr>
                <w:rFonts w:cs="Arial"/>
                <w:szCs w:val="22"/>
                <w:lang w:eastAsia="ja-JP"/>
              </w:rPr>
              <w:t>Zwiększone urynkowienie działalności badawczo-rozwojowej</w:t>
            </w:r>
          </w:p>
          <w:p w14:paraId="3668D411" w14:textId="2EF019A4" w:rsidR="002C6B6E" w:rsidRPr="002C6B6E" w:rsidRDefault="002C6B6E" w:rsidP="002C6B6E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270" w:hanging="270"/>
              <w:jc w:val="left"/>
              <w:rPr>
                <w:rFonts w:cs="Arial"/>
                <w:szCs w:val="22"/>
                <w:lang w:eastAsia="ja-JP"/>
              </w:rPr>
            </w:pPr>
            <w:r w:rsidRPr="002C6B6E">
              <w:rPr>
                <w:rFonts w:cs="Arial"/>
                <w:szCs w:val="22"/>
              </w:rPr>
              <w:t>Zwiększona aktywność badawczo-rozwojowa przedsiębiorstw</w:t>
            </w:r>
            <w:r w:rsidRPr="002C6B6E">
              <w:rPr>
                <w:rFonts w:cs="Arial"/>
                <w:szCs w:val="22"/>
                <w:lang w:eastAsia="ja-JP"/>
              </w:rPr>
              <w:t xml:space="preserve"> </w:t>
            </w:r>
          </w:p>
          <w:p w14:paraId="0E5F841C" w14:textId="5F4F5280" w:rsidR="002C6B6E" w:rsidRPr="002C6B6E" w:rsidRDefault="002C6B6E" w:rsidP="002C6B6E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270" w:hanging="270"/>
              <w:jc w:val="left"/>
              <w:rPr>
                <w:rFonts w:cs="Arial"/>
                <w:szCs w:val="22"/>
                <w:lang w:eastAsia="ja-JP"/>
              </w:rPr>
            </w:pPr>
            <w:r w:rsidRPr="002C6B6E">
              <w:rPr>
                <w:rFonts w:cs="Arial"/>
                <w:szCs w:val="22"/>
              </w:rPr>
              <w:t>Ulepszone otoczenie proinnowacyjne przedsiębiorstw</w:t>
            </w:r>
          </w:p>
        </w:tc>
      </w:tr>
      <w:tr w:rsidR="002C6B6E" w:rsidRPr="002155D8" w14:paraId="4DDFAE21" w14:textId="77777777" w:rsidTr="006F71F3">
        <w:trPr>
          <w:gridAfter w:val="1"/>
          <w:wAfter w:w="37" w:type="dxa"/>
          <w:trHeight w:val="2868"/>
        </w:trPr>
        <w:tc>
          <w:tcPr>
            <w:tcW w:w="9030" w:type="dxa"/>
            <w:gridSpan w:val="3"/>
            <w:shd w:val="clear" w:color="auto" w:fill="EDEDED" w:themeFill="accent3" w:themeFillTint="33"/>
            <w:vAlign w:val="center"/>
          </w:tcPr>
          <w:p w14:paraId="6ECE2340" w14:textId="77777777" w:rsidR="00441A8C" w:rsidRDefault="00441A8C" w:rsidP="002C6B6E">
            <w:pPr>
              <w:spacing w:line="259" w:lineRule="auto"/>
              <w:rPr>
                <w:rFonts w:ascii="Arial" w:hAnsi="Arial" w:cs="Arial"/>
                <w:b/>
                <w:bCs/>
                <w:smallCaps/>
                <w:sz w:val="24"/>
                <w:szCs w:val="24"/>
                <w:lang w:eastAsia="ja-JP"/>
              </w:rPr>
            </w:pPr>
          </w:p>
          <w:p w14:paraId="762D00FA" w14:textId="685B41A3" w:rsidR="002C6B6E" w:rsidRPr="00441A8C" w:rsidRDefault="00441A8C" w:rsidP="002C6B6E">
            <w:pPr>
              <w:spacing w:line="259" w:lineRule="auto"/>
              <w:rPr>
                <w:rFonts w:ascii="Arial" w:hAnsi="Arial" w:cs="Arial"/>
                <w:b/>
                <w:bCs/>
                <w:smallCaps/>
                <w:sz w:val="24"/>
                <w:szCs w:val="24"/>
                <w:lang w:eastAsia="ja-JP"/>
              </w:rPr>
            </w:pPr>
            <w:r w:rsidRPr="00441A8C">
              <w:rPr>
                <w:rFonts w:ascii="Arial" w:hAnsi="Arial" w:cs="Arial"/>
                <w:b/>
                <w:bCs/>
                <w:smallCaps/>
                <w:sz w:val="24"/>
                <w:szCs w:val="24"/>
                <w:lang w:eastAsia="ja-JP"/>
              </w:rPr>
              <w:t>SKALA WSPARCIA:</w:t>
            </w:r>
          </w:p>
          <w:p w14:paraId="752B4409" w14:textId="77777777" w:rsidR="00441A8C" w:rsidRDefault="00441A8C" w:rsidP="002C6B6E">
            <w:pPr>
              <w:spacing w:line="259" w:lineRule="auto"/>
              <w:rPr>
                <w:rFonts w:ascii="Arial" w:hAnsi="Arial" w:cs="Arial"/>
                <w:lang w:eastAsia="ja-JP"/>
              </w:rPr>
            </w:pPr>
          </w:p>
          <w:p w14:paraId="25968FA4" w14:textId="7AF22DE6" w:rsidR="002C6B6E" w:rsidRPr="002C6B6E" w:rsidRDefault="002C6B6E" w:rsidP="002C6B6E">
            <w:pPr>
              <w:spacing w:line="259" w:lineRule="auto"/>
              <w:rPr>
                <w:rFonts w:ascii="Arial" w:hAnsi="Arial" w:cs="Arial"/>
                <w:lang w:eastAsia="ja-JP"/>
              </w:rPr>
            </w:pPr>
            <w:r w:rsidRPr="002C6B6E">
              <w:rPr>
                <w:rFonts w:ascii="Arial" w:hAnsi="Arial" w:cs="Arial"/>
                <w:lang w:eastAsia="ja-JP"/>
              </w:rPr>
              <w:t xml:space="preserve">Blisko </w:t>
            </w:r>
            <w:r w:rsidRPr="002C6B6E">
              <w:rPr>
                <w:rFonts w:ascii="Arial" w:hAnsi="Arial" w:cs="Arial"/>
                <w:b/>
                <w:bCs/>
                <w:lang w:eastAsia="ja-JP"/>
              </w:rPr>
              <w:t>298 projektów</w:t>
            </w:r>
            <w:r w:rsidRPr="002C6B6E">
              <w:rPr>
                <w:rFonts w:ascii="Arial" w:hAnsi="Arial" w:cs="Arial"/>
                <w:lang w:eastAsia="ja-JP"/>
              </w:rPr>
              <w:t xml:space="preserve"> dofinansowanych ze środków UE na kwotę ok. </w:t>
            </w:r>
            <w:r w:rsidRPr="002C6B6E">
              <w:rPr>
                <w:rFonts w:ascii="Arial" w:hAnsi="Arial" w:cs="Arial"/>
                <w:b/>
                <w:bCs/>
                <w:lang w:eastAsia="ja-JP"/>
              </w:rPr>
              <w:t>747,3 mln PLN</w:t>
            </w:r>
            <w:r>
              <w:rPr>
                <w:rFonts w:ascii="Arial" w:hAnsi="Arial" w:cs="Arial"/>
                <w:b/>
                <w:bCs/>
                <w:lang w:eastAsia="ja-JP"/>
              </w:rPr>
              <w:t>,</w:t>
            </w:r>
            <w:r w:rsidRPr="002C6B6E">
              <w:rPr>
                <w:rFonts w:ascii="Arial" w:hAnsi="Arial" w:cs="Arial"/>
                <w:lang w:eastAsia="ja-JP"/>
              </w:rPr>
              <w:t xml:space="preserve">  (listopad 2021)</w:t>
            </w:r>
            <w:r>
              <w:rPr>
                <w:rFonts w:ascii="Arial" w:hAnsi="Arial" w:cs="Arial"/>
                <w:lang w:eastAsia="ja-JP"/>
              </w:rPr>
              <w:t>.</w:t>
            </w:r>
          </w:p>
          <w:p w14:paraId="31B9EAE0" w14:textId="77777777" w:rsidR="002C6B6E" w:rsidRPr="002C6B6E" w:rsidRDefault="002C6B6E" w:rsidP="002C6B6E">
            <w:pPr>
              <w:spacing w:line="259" w:lineRule="auto"/>
              <w:ind w:left="63"/>
              <w:rPr>
                <w:rFonts w:ascii="Arial" w:hAnsi="Arial" w:cs="Arial"/>
                <w:b/>
                <w:bCs/>
                <w:lang w:eastAsia="ja-JP"/>
              </w:rPr>
            </w:pPr>
          </w:p>
          <w:p w14:paraId="1C1157BA" w14:textId="47F29336" w:rsidR="002C6B6E" w:rsidRPr="00441A8C" w:rsidRDefault="002C6B6E" w:rsidP="002C6B6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ja-JP"/>
              </w:rPr>
            </w:pPr>
            <w:r w:rsidRPr="00441A8C">
              <w:rPr>
                <w:rFonts w:ascii="Arial" w:hAnsi="Arial" w:cs="Arial"/>
                <w:b/>
                <w:bCs/>
                <w:sz w:val="24"/>
                <w:szCs w:val="24"/>
                <w:lang w:eastAsia="ja-JP"/>
              </w:rPr>
              <w:t>WYBRANE PRODUKTY:</w:t>
            </w:r>
          </w:p>
          <w:p w14:paraId="53C38F0C" w14:textId="77777777" w:rsidR="002C6B6E" w:rsidRDefault="002C6B6E" w:rsidP="002C6B6E">
            <w:pPr>
              <w:pStyle w:val="Akapitzlist"/>
              <w:numPr>
                <w:ilvl w:val="0"/>
                <w:numId w:val="21"/>
              </w:numPr>
              <w:spacing w:after="0" w:line="276" w:lineRule="auto"/>
              <w:jc w:val="left"/>
              <w:rPr>
                <w:rFonts w:cs="Arial"/>
                <w:color w:val="auto"/>
                <w:szCs w:val="22"/>
                <w:lang w:eastAsia="ja-JP"/>
              </w:rPr>
            </w:pPr>
            <w:r w:rsidRPr="002C6B6E">
              <w:rPr>
                <w:rFonts w:cs="Arial"/>
                <w:color w:val="auto"/>
                <w:szCs w:val="22"/>
                <w:lang w:eastAsia="ja-JP"/>
              </w:rPr>
              <w:t xml:space="preserve">Działanie 1.1 </w:t>
            </w:r>
          </w:p>
          <w:p w14:paraId="605F498B" w14:textId="1053971B" w:rsidR="002C6B6E" w:rsidRPr="002C6B6E" w:rsidRDefault="002C6B6E" w:rsidP="002C6B6E">
            <w:pPr>
              <w:pStyle w:val="Akapitzlist"/>
              <w:spacing w:after="0" w:line="276" w:lineRule="auto"/>
              <w:jc w:val="left"/>
              <w:rPr>
                <w:rFonts w:cs="Arial"/>
                <w:color w:val="auto"/>
                <w:szCs w:val="22"/>
                <w:lang w:eastAsia="ja-JP"/>
              </w:rPr>
            </w:pPr>
            <w:r w:rsidRPr="002C6B6E">
              <w:rPr>
                <w:rFonts w:cs="Arial"/>
                <w:color w:val="auto"/>
                <w:szCs w:val="22"/>
                <w:lang w:eastAsia="ja-JP"/>
              </w:rPr>
              <w:t>39 wspartych laboratoriów badawczych w 12 śląskich uczelniach wyższych i jednostkach badawczych</w:t>
            </w:r>
          </w:p>
          <w:p w14:paraId="71D88ED1" w14:textId="77777777" w:rsidR="002C6B6E" w:rsidRDefault="002C6B6E" w:rsidP="002C6B6E">
            <w:pPr>
              <w:pStyle w:val="Akapitzlist"/>
              <w:numPr>
                <w:ilvl w:val="0"/>
                <w:numId w:val="21"/>
              </w:numPr>
              <w:spacing w:line="276" w:lineRule="auto"/>
              <w:jc w:val="left"/>
              <w:rPr>
                <w:rFonts w:cs="Arial"/>
                <w:color w:val="auto"/>
                <w:szCs w:val="22"/>
                <w:lang w:eastAsia="ja-JP"/>
              </w:rPr>
            </w:pPr>
            <w:r w:rsidRPr="002C6B6E">
              <w:rPr>
                <w:rFonts w:cs="Arial"/>
                <w:color w:val="auto"/>
                <w:szCs w:val="22"/>
              </w:rPr>
              <w:t xml:space="preserve">Działanie 1.1 </w:t>
            </w:r>
          </w:p>
          <w:p w14:paraId="42954492" w14:textId="1BEBE7FB" w:rsidR="002C6B6E" w:rsidRPr="002C6B6E" w:rsidRDefault="002C6B6E" w:rsidP="002C6B6E">
            <w:pPr>
              <w:pStyle w:val="Akapitzlist"/>
              <w:spacing w:line="276" w:lineRule="auto"/>
              <w:jc w:val="left"/>
              <w:rPr>
                <w:rFonts w:cs="Arial"/>
                <w:color w:val="auto"/>
                <w:szCs w:val="22"/>
                <w:lang w:eastAsia="ja-JP"/>
              </w:rPr>
            </w:pPr>
            <w:r w:rsidRPr="002C6B6E">
              <w:rPr>
                <w:rFonts w:cs="Arial"/>
                <w:color w:val="auto"/>
                <w:szCs w:val="22"/>
              </w:rPr>
              <w:t xml:space="preserve">191 </w:t>
            </w:r>
            <w:r w:rsidRPr="002C6B6E">
              <w:rPr>
                <w:rFonts w:eastAsia="Montserrat" w:cs="Arial"/>
                <w:color w:val="auto"/>
                <w:szCs w:val="22"/>
              </w:rPr>
              <w:t>projektów B+R realizowanych przy wykorzystaniu wspartej infrastruktury badawczej</w:t>
            </w:r>
          </w:p>
          <w:p w14:paraId="442F4BFE" w14:textId="77777777" w:rsidR="002C6B6E" w:rsidRDefault="002C6B6E" w:rsidP="002C6B6E">
            <w:pPr>
              <w:pStyle w:val="Akapitzlist"/>
              <w:numPr>
                <w:ilvl w:val="0"/>
                <w:numId w:val="21"/>
              </w:numPr>
              <w:spacing w:line="276" w:lineRule="auto"/>
              <w:jc w:val="left"/>
              <w:rPr>
                <w:rFonts w:cs="Arial"/>
                <w:color w:val="auto"/>
                <w:szCs w:val="22"/>
                <w:lang w:eastAsia="ja-JP"/>
              </w:rPr>
            </w:pPr>
            <w:r w:rsidRPr="002C6B6E">
              <w:rPr>
                <w:rFonts w:cs="Arial"/>
                <w:color w:val="auto"/>
                <w:szCs w:val="22"/>
                <w:lang w:eastAsia="ja-JP"/>
              </w:rPr>
              <w:t xml:space="preserve">Działanie 1.2 </w:t>
            </w:r>
          </w:p>
          <w:p w14:paraId="73745E2B" w14:textId="658337DF" w:rsidR="002C6B6E" w:rsidRPr="002C6B6E" w:rsidRDefault="002C6B6E" w:rsidP="002C6B6E">
            <w:pPr>
              <w:pStyle w:val="Akapitzlist"/>
              <w:spacing w:line="276" w:lineRule="auto"/>
              <w:jc w:val="left"/>
              <w:rPr>
                <w:rFonts w:cs="Arial"/>
                <w:color w:val="auto"/>
                <w:szCs w:val="22"/>
                <w:lang w:eastAsia="ja-JP"/>
              </w:rPr>
            </w:pPr>
            <w:r w:rsidRPr="002C6B6E">
              <w:rPr>
                <w:rFonts w:cs="Arial"/>
                <w:color w:val="auto"/>
                <w:szCs w:val="22"/>
                <w:lang w:eastAsia="ja-JP"/>
              </w:rPr>
              <w:t>220 wspartych prac B+R prowadzonych przez przedsiębiorstwa</w:t>
            </w:r>
          </w:p>
          <w:p w14:paraId="760355BA" w14:textId="77777777" w:rsidR="002C6B6E" w:rsidRDefault="002C6B6E" w:rsidP="002C6B6E">
            <w:pPr>
              <w:pStyle w:val="Akapitzlist"/>
              <w:numPr>
                <w:ilvl w:val="0"/>
                <w:numId w:val="21"/>
              </w:numPr>
              <w:spacing w:after="0" w:line="276" w:lineRule="auto"/>
              <w:jc w:val="left"/>
              <w:rPr>
                <w:rFonts w:cs="Arial"/>
                <w:color w:val="auto"/>
                <w:szCs w:val="22"/>
                <w:lang w:eastAsia="ja-JP"/>
              </w:rPr>
            </w:pPr>
            <w:r w:rsidRPr="002C6B6E">
              <w:rPr>
                <w:rFonts w:cs="Arial"/>
                <w:color w:val="auto"/>
                <w:szCs w:val="22"/>
                <w:lang w:eastAsia="ja-JP"/>
              </w:rPr>
              <w:t xml:space="preserve">Działanie 1.2 </w:t>
            </w:r>
          </w:p>
          <w:p w14:paraId="524D7C40" w14:textId="78FCBA1A" w:rsidR="002C6B6E" w:rsidRPr="002C6B6E" w:rsidRDefault="002C6B6E" w:rsidP="002C6B6E">
            <w:pPr>
              <w:pStyle w:val="Akapitzlist"/>
              <w:spacing w:after="0" w:line="276" w:lineRule="auto"/>
              <w:jc w:val="left"/>
              <w:rPr>
                <w:rFonts w:cs="Arial"/>
                <w:color w:val="auto"/>
                <w:szCs w:val="22"/>
                <w:lang w:eastAsia="ja-JP"/>
              </w:rPr>
            </w:pPr>
            <w:r w:rsidRPr="002C6B6E">
              <w:rPr>
                <w:rFonts w:cs="Arial"/>
                <w:color w:val="auto"/>
                <w:szCs w:val="22"/>
                <w:lang w:eastAsia="ja-JP"/>
              </w:rPr>
              <w:t>64 zakupionych usług proinnowacyjnych</w:t>
            </w:r>
          </w:p>
          <w:p w14:paraId="127C6944" w14:textId="77777777" w:rsidR="002C6B6E" w:rsidRDefault="002C6B6E" w:rsidP="002C6B6E">
            <w:pPr>
              <w:pStyle w:val="Akapitzlist"/>
              <w:numPr>
                <w:ilvl w:val="0"/>
                <w:numId w:val="21"/>
              </w:numPr>
              <w:spacing w:before="0" w:after="0" w:line="276" w:lineRule="auto"/>
              <w:jc w:val="left"/>
              <w:rPr>
                <w:rFonts w:cs="Arial"/>
                <w:color w:val="auto"/>
                <w:szCs w:val="22"/>
                <w:lang w:eastAsia="ja-JP"/>
              </w:rPr>
            </w:pPr>
            <w:r w:rsidRPr="002C6B6E">
              <w:rPr>
                <w:rFonts w:cs="Arial"/>
                <w:color w:val="auto"/>
                <w:szCs w:val="22"/>
                <w:lang w:eastAsia="ja-JP"/>
              </w:rPr>
              <w:t xml:space="preserve">Działanie 1.3 </w:t>
            </w:r>
          </w:p>
          <w:p w14:paraId="01A47AFF" w14:textId="49DF05E2" w:rsidR="002C6B6E" w:rsidRPr="002C6B6E" w:rsidRDefault="002C6B6E" w:rsidP="002C6B6E">
            <w:pPr>
              <w:pStyle w:val="Akapitzlist"/>
              <w:spacing w:before="0" w:after="0" w:line="276" w:lineRule="auto"/>
              <w:jc w:val="left"/>
              <w:rPr>
                <w:rFonts w:cs="Arial"/>
                <w:color w:val="auto"/>
                <w:szCs w:val="22"/>
                <w:lang w:eastAsia="ja-JP"/>
              </w:rPr>
            </w:pPr>
            <w:r w:rsidRPr="002C6B6E">
              <w:rPr>
                <w:rFonts w:cs="Arial"/>
                <w:color w:val="auto"/>
                <w:szCs w:val="22"/>
                <w:lang w:eastAsia="ja-JP"/>
              </w:rPr>
              <w:t>289 przedsiębiorstw otrzymujących wsparcie niefinansowe</w:t>
            </w:r>
          </w:p>
          <w:p w14:paraId="1EAC2A4E" w14:textId="1E0F30A7" w:rsidR="002C6B6E" w:rsidRPr="002C6B6E" w:rsidRDefault="002C6B6E" w:rsidP="002C6B6E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cs="Arial"/>
                <w:szCs w:val="22"/>
                <w:lang w:eastAsia="ja-JP"/>
              </w:rPr>
            </w:pPr>
            <w:r w:rsidRPr="002C6B6E">
              <w:rPr>
                <w:rFonts w:cs="Arial"/>
                <w:color w:val="auto"/>
                <w:szCs w:val="22"/>
                <w:lang w:eastAsia="ja-JP"/>
              </w:rPr>
              <w:t>Działanie 1.4 4 nowe instytucje ekosystemu innowacji</w:t>
            </w:r>
          </w:p>
        </w:tc>
      </w:tr>
      <w:tr w:rsidR="002C6B6E" w:rsidRPr="002155D8" w14:paraId="1B868C25" w14:textId="77777777" w:rsidTr="002C6B6E">
        <w:trPr>
          <w:gridAfter w:val="1"/>
          <w:wAfter w:w="37" w:type="dxa"/>
          <w:trHeight w:val="3671"/>
        </w:trPr>
        <w:tc>
          <w:tcPr>
            <w:tcW w:w="9030" w:type="dxa"/>
            <w:gridSpan w:val="3"/>
            <w:shd w:val="clear" w:color="auto" w:fill="FFFF66"/>
            <w:vAlign w:val="center"/>
          </w:tcPr>
          <w:p w14:paraId="15374B05" w14:textId="748EFA87" w:rsidR="002C6B6E" w:rsidRPr="00441A8C" w:rsidRDefault="00441A8C" w:rsidP="00441A8C">
            <w:pPr>
              <w:rPr>
                <w:rFonts w:cs="Arial"/>
                <w:b/>
                <w:bCs/>
                <w:smallCaps/>
                <w:sz w:val="24"/>
                <w:szCs w:val="24"/>
                <w:lang w:eastAsia="ja-JP"/>
              </w:rPr>
            </w:pPr>
            <w:r w:rsidRPr="00441A8C">
              <w:rPr>
                <w:rFonts w:cs="Arial"/>
                <w:b/>
                <w:bCs/>
                <w:smallCaps/>
                <w:sz w:val="24"/>
                <w:lang w:eastAsia="ja-JP"/>
              </w:rPr>
              <w:t>MECHANIZMY WDRAŻANIA:</w:t>
            </w:r>
          </w:p>
          <w:p w14:paraId="66CD684A" w14:textId="77777777" w:rsidR="00441A8C" w:rsidRDefault="00441A8C" w:rsidP="002C6B6E">
            <w:pPr>
              <w:pStyle w:val="Akapitzlist"/>
              <w:spacing w:line="240" w:lineRule="auto"/>
              <w:ind w:left="288"/>
              <w:jc w:val="left"/>
              <w:rPr>
                <w:rFonts w:cs="Arial"/>
                <w:b/>
                <w:bCs/>
                <w:smallCaps/>
                <w:szCs w:val="22"/>
                <w:lang w:eastAsia="ja-JP"/>
              </w:rPr>
            </w:pPr>
          </w:p>
          <w:p w14:paraId="4B90E7C3" w14:textId="6ECFEC2D" w:rsidR="00441A8C" w:rsidRPr="00441A8C" w:rsidRDefault="00441A8C" w:rsidP="00441A8C">
            <w:pPr>
              <w:pStyle w:val="Akapitzlist"/>
              <w:spacing w:line="240" w:lineRule="auto"/>
              <w:ind w:left="288"/>
              <w:jc w:val="left"/>
              <w:rPr>
                <w:rFonts w:cs="Arial"/>
                <w:i/>
                <w:szCs w:val="22"/>
                <w:lang w:eastAsia="ja-JP"/>
              </w:rPr>
            </w:pPr>
            <w:r w:rsidRPr="00441A8C">
              <w:rPr>
                <w:rFonts w:cs="Arial"/>
                <w:i/>
                <w:szCs w:val="22"/>
                <w:lang w:eastAsia="ja-JP"/>
              </w:rPr>
              <w:t>(pozytywne czynniki)</w:t>
            </w:r>
            <w:r>
              <w:rPr>
                <w:rFonts w:cs="Arial"/>
                <w:i/>
                <w:szCs w:val="22"/>
                <w:lang w:eastAsia="ja-JP"/>
              </w:rPr>
              <w:t>:</w:t>
            </w:r>
          </w:p>
          <w:p w14:paraId="098F02B7" w14:textId="075C9058" w:rsidR="002C6B6E" w:rsidRPr="002C6B6E" w:rsidRDefault="002C6B6E" w:rsidP="00441A8C">
            <w:pPr>
              <w:pStyle w:val="Akapitzlist"/>
              <w:numPr>
                <w:ilvl w:val="0"/>
                <w:numId w:val="22"/>
              </w:numPr>
              <w:spacing w:line="240" w:lineRule="auto"/>
              <w:jc w:val="left"/>
              <w:rPr>
                <w:rFonts w:cs="Arial"/>
                <w:szCs w:val="22"/>
                <w:lang w:eastAsia="ja-JP"/>
              </w:rPr>
            </w:pPr>
            <w:r w:rsidRPr="002C6B6E">
              <w:rPr>
                <w:rFonts w:cs="Arial"/>
                <w:szCs w:val="22"/>
                <w:lang w:eastAsia="ja-JP"/>
              </w:rPr>
              <w:t xml:space="preserve">Zakres i warunki wsparcia dobrze dostosowane do potrzeb i możliwości beneficjentów </w:t>
            </w:r>
          </w:p>
          <w:p w14:paraId="30211B84" w14:textId="5AD53B55" w:rsidR="002C6B6E" w:rsidRPr="002C6B6E" w:rsidRDefault="002C6B6E" w:rsidP="00441A8C">
            <w:pPr>
              <w:pStyle w:val="Akapitzlist"/>
              <w:numPr>
                <w:ilvl w:val="0"/>
                <w:numId w:val="22"/>
              </w:numPr>
              <w:spacing w:line="240" w:lineRule="auto"/>
              <w:jc w:val="left"/>
              <w:rPr>
                <w:rFonts w:cs="Arial"/>
                <w:szCs w:val="22"/>
                <w:lang w:eastAsia="ja-JP"/>
              </w:rPr>
            </w:pPr>
            <w:r w:rsidRPr="002C6B6E">
              <w:rPr>
                <w:rFonts w:cs="Arial"/>
                <w:szCs w:val="22"/>
                <w:lang w:eastAsia="ja-JP"/>
              </w:rPr>
              <w:t>Przyjęte zasady wdrażania, w tym ścieżki wyboru i formuły realizacji projektów, system zarządzania programem, sprzyjały skutecznej i efektywnej realizacji celów interwencji</w:t>
            </w:r>
          </w:p>
          <w:p w14:paraId="09FE3600" w14:textId="5276E409" w:rsidR="002C6B6E" w:rsidRPr="002C6B6E" w:rsidRDefault="002C6B6E" w:rsidP="00441A8C">
            <w:pPr>
              <w:pStyle w:val="Akapitzlist"/>
              <w:numPr>
                <w:ilvl w:val="0"/>
                <w:numId w:val="22"/>
              </w:numPr>
              <w:spacing w:line="240" w:lineRule="auto"/>
              <w:jc w:val="left"/>
              <w:rPr>
                <w:rFonts w:cs="Arial"/>
                <w:szCs w:val="22"/>
                <w:lang w:eastAsia="ja-JP"/>
              </w:rPr>
            </w:pPr>
            <w:r w:rsidRPr="002C6B6E">
              <w:rPr>
                <w:rFonts w:cs="Arial"/>
                <w:szCs w:val="22"/>
                <w:lang w:eastAsia="ja-JP"/>
              </w:rPr>
              <w:t>Pozytywne doświadczenia związane z zastosowaniem formuły ryczałtowej dla kosztów pośrednich w projektach.</w:t>
            </w:r>
          </w:p>
          <w:p w14:paraId="2FD3F161" w14:textId="77777777" w:rsidR="002C6B6E" w:rsidRDefault="002C6B6E" w:rsidP="00441A8C">
            <w:pPr>
              <w:pStyle w:val="Akapitzlist"/>
              <w:numPr>
                <w:ilvl w:val="0"/>
                <w:numId w:val="22"/>
              </w:numPr>
              <w:spacing w:line="240" w:lineRule="auto"/>
              <w:jc w:val="left"/>
              <w:rPr>
                <w:rFonts w:cs="Arial"/>
                <w:szCs w:val="22"/>
                <w:lang w:eastAsia="ja-JP"/>
              </w:rPr>
            </w:pPr>
            <w:r w:rsidRPr="002C6B6E">
              <w:rPr>
                <w:rFonts w:cs="Arial"/>
                <w:szCs w:val="22"/>
                <w:lang w:eastAsia="ja-JP"/>
              </w:rPr>
              <w:t>Przyjazny system oceny projektów skierowanych do firm.</w:t>
            </w:r>
          </w:p>
          <w:p w14:paraId="38B7D94C" w14:textId="77777777" w:rsidR="00441A8C" w:rsidRDefault="00441A8C" w:rsidP="00441A8C">
            <w:pPr>
              <w:pStyle w:val="Akapitzlist"/>
              <w:spacing w:line="240" w:lineRule="auto"/>
              <w:ind w:left="288"/>
              <w:jc w:val="left"/>
              <w:rPr>
                <w:rFonts w:cs="Arial"/>
                <w:szCs w:val="22"/>
                <w:lang w:eastAsia="ja-JP"/>
              </w:rPr>
            </w:pPr>
          </w:p>
          <w:p w14:paraId="167EE2F4" w14:textId="39A45DC7" w:rsidR="00441A8C" w:rsidRPr="00441A8C" w:rsidRDefault="00441A8C" w:rsidP="00441A8C">
            <w:pPr>
              <w:pStyle w:val="Akapitzlist"/>
              <w:spacing w:line="240" w:lineRule="auto"/>
              <w:ind w:left="288"/>
              <w:jc w:val="left"/>
              <w:rPr>
                <w:rFonts w:cs="Arial"/>
                <w:i/>
                <w:szCs w:val="22"/>
                <w:lang w:eastAsia="ja-JP"/>
              </w:rPr>
            </w:pPr>
            <w:r w:rsidRPr="00441A8C">
              <w:rPr>
                <w:rFonts w:cs="Arial"/>
                <w:i/>
                <w:szCs w:val="22"/>
                <w:lang w:eastAsia="ja-JP"/>
              </w:rPr>
              <w:t>(negatywne czynniki)</w:t>
            </w:r>
            <w:r>
              <w:rPr>
                <w:rFonts w:cs="Arial"/>
                <w:i/>
                <w:szCs w:val="22"/>
                <w:lang w:eastAsia="ja-JP"/>
              </w:rPr>
              <w:t>:</w:t>
            </w:r>
          </w:p>
          <w:p w14:paraId="70DFF073" w14:textId="77777777" w:rsidR="002C6B6E" w:rsidRPr="00441A8C" w:rsidRDefault="002C6B6E" w:rsidP="00441A8C">
            <w:pPr>
              <w:pStyle w:val="Akapitzlist"/>
              <w:numPr>
                <w:ilvl w:val="0"/>
                <w:numId w:val="23"/>
              </w:numPr>
              <w:spacing w:line="240" w:lineRule="auto"/>
              <w:jc w:val="left"/>
              <w:rPr>
                <w:rFonts w:cs="Arial"/>
                <w:color w:val="auto"/>
                <w:szCs w:val="22"/>
                <w:lang w:eastAsia="ja-JP"/>
              </w:rPr>
            </w:pPr>
            <w:r w:rsidRPr="00441A8C">
              <w:rPr>
                <w:rFonts w:cs="Arial"/>
                <w:color w:val="auto"/>
                <w:szCs w:val="22"/>
                <w:lang w:eastAsia="ja-JP"/>
              </w:rPr>
              <w:t xml:space="preserve">Mechanizm monitorowania i wycofania w przypadku finansowania infrastruktury badawczej ze środków publicznych, stosowany w celu zapewnienia, że w wyniku ewentualnego zwiększenia udziału działalności gospodarczej w przyszłości, nie przekroczono obowiązującej maksymalnej intensywności pomocy. </w:t>
            </w:r>
          </w:p>
          <w:p w14:paraId="420D83D0" w14:textId="09015DFF" w:rsidR="002C6B6E" w:rsidRPr="002C6B6E" w:rsidRDefault="002C6B6E" w:rsidP="00441A8C">
            <w:pPr>
              <w:pStyle w:val="Akapitzlist"/>
              <w:numPr>
                <w:ilvl w:val="0"/>
                <w:numId w:val="23"/>
              </w:numPr>
              <w:spacing w:line="240" w:lineRule="auto"/>
              <w:jc w:val="left"/>
              <w:rPr>
                <w:rFonts w:cs="Arial"/>
                <w:szCs w:val="22"/>
                <w:lang w:eastAsia="ja-JP"/>
              </w:rPr>
            </w:pPr>
            <w:r w:rsidRPr="00441A8C">
              <w:rPr>
                <w:rFonts w:cs="Arial"/>
                <w:color w:val="auto"/>
                <w:szCs w:val="22"/>
                <w:lang w:eastAsia="ja-JP"/>
              </w:rPr>
              <w:t>Nieadekwatne do możliwości IOB warunki wsparcia usług proinnowacyjnych.</w:t>
            </w:r>
          </w:p>
        </w:tc>
      </w:tr>
      <w:tr w:rsidR="002C6B6E" w:rsidRPr="002155D8" w14:paraId="4ECBDC85" w14:textId="77777777" w:rsidTr="002B3044">
        <w:trPr>
          <w:gridAfter w:val="1"/>
          <w:wAfter w:w="37" w:type="dxa"/>
          <w:trHeight w:val="2858"/>
        </w:trPr>
        <w:tc>
          <w:tcPr>
            <w:tcW w:w="9030" w:type="dxa"/>
            <w:gridSpan w:val="3"/>
            <w:shd w:val="clear" w:color="auto" w:fill="FFFFFF" w:themeFill="background1"/>
            <w:vAlign w:val="center"/>
          </w:tcPr>
          <w:p w14:paraId="05A953AE" w14:textId="77777777" w:rsidR="00441A8C" w:rsidRDefault="00441A8C" w:rsidP="002C6B6E">
            <w:pPr>
              <w:rPr>
                <w:rFonts w:ascii="Arial" w:hAnsi="Arial" w:cs="Arial"/>
                <w:b/>
                <w:bCs/>
                <w:smallCaps/>
                <w:sz w:val="24"/>
                <w:szCs w:val="24"/>
                <w:lang w:eastAsia="ja-JP"/>
              </w:rPr>
            </w:pPr>
          </w:p>
          <w:p w14:paraId="673DAD6E" w14:textId="2C2DFB44" w:rsidR="002C6B6E" w:rsidRPr="00441A8C" w:rsidRDefault="002C6B6E" w:rsidP="002C6B6E">
            <w:pPr>
              <w:rPr>
                <w:rFonts w:ascii="Arial" w:hAnsi="Arial" w:cs="Arial"/>
                <w:strike/>
                <w:sz w:val="24"/>
                <w:szCs w:val="24"/>
                <w:lang w:eastAsia="ja-JP"/>
              </w:rPr>
            </w:pPr>
            <w:r w:rsidRPr="00441A8C">
              <w:rPr>
                <w:rFonts w:ascii="Arial" w:hAnsi="Arial" w:cs="Arial"/>
                <w:b/>
                <w:bCs/>
                <w:smallCaps/>
                <w:sz w:val="24"/>
                <w:szCs w:val="24"/>
                <w:lang w:eastAsia="ja-JP"/>
              </w:rPr>
              <w:t>C</w:t>
            </w:r>
            <w:r w:rsidR="00441A8C">
              <w:rPr>
                <w:rFonts w:ascii="Arial" w:hAnsi="Arial" w:cs="Arial"/>
                <w:b/>
                <w:bCs/>
                <w:smallCaps/>
                <w:sz w:val="24"/>
                <w:szCs w:val="24"/>
                <w:lang w:eastAsia="ja-JP"/>
              </w:rPr>
              <w:t xml:space="preserve">ZYNNIKI </w:t>
            </w:r>
            <w:r w:rsidRPr="00441A8C">
              <w:rPr>
                <w:rFonts w:ascii="Arial" w:hAnsi="Arial" w:cs="Arial"/>
                <w:b/>
                <w:bCs/>
                <w:smallCaps/>
                <w:sz w:val="24"/>
                <w:szCs w:val="24"/>
                <w:lang w:eastAsia="ja-JP"/>
              </w:rPr>
              <w:t>WPŁYWAJĄCE NA WDRAŻANIE INTERWENCJI</w:t>
            </w:r>
            <w:r w:rsidR="00441A8C">
              <w:rPr>
                <w:rFonts w:ascii="Arial" w:hAnsi="Arial" w:cs="Arial"/>
                <w:b/>
                <w:bCs/>
                <w:smallCaps/>
                <w:sz w:val="24"/>
                <w:szCs w:val="24"/>
                <w:lang w:eastAsia="ja-JP"/>
              </w:rPr>
              <w:t>:</w:t>
            </w:r>
          </w:p>
          <w:p w14:paraId="443349ED" w14:textId="77777777" w:rsidR="002C6B6E" w:rsidRPr="00441A8C" w:rsidRDefault="002C6B6E" w:rsidP="002C6B6E">
            <w:pPr>
              <w:pStyle w:val="Akapitzlist"/>
              <w:spacing w:line="240" w:lineRule="auto"/>
              <w:ind w:left="312"/>
              <w:jc w:val="left"/>
              <w:rPr>
                <w:rFonts w:cs="Arial"/>
                <w:strike/>
                <w:color w:val="auto"/>
                <w:szCs w:val="22"/>
                <w:lang w:eastAsia="ja-JP"/>
              </w:rPr>
            </w:pPr>
          </w:p>
          <w:p w14:paraId="49A9F472" w14:textId="77777777" w:rsidR="00441A8C" w:rsidRPr="00441A8C" w:rsidRDefault="00441A8C" w:rsidP="00441A8C">
            <w:pPr>
              <w:pStyle w:val="Akapitzlist"/>
              <w:spacing w:line="240" w:lineRule="auto"/>
              <w:ind w:left="288"/>
              <w:jc w:val="left"/>
              <w:rPr>
                <w:rFonts w:cs="Arial"/>
                <w:i/>
                <w:color w:val="auto"/>
                <w:szCs w:val="22"/>
                <w:lang w:eastAsia="ja-JP"/>
              </w:rPr>
            </w:pPr>
            <w:r w:rsidRPr="00441A8C">
              <w:rPr>
                <w:rFonts w:cs="Arial"/>
                <w:i/>
                <w:color w:val="auto"/>
                <w:szCs w:val="22"/>
                <w:lang w:eastAsia="ja-JP"/>
              </w:rPr>
              <w:t>(pozytywne czynniki):</w:t>
            </w:r>
          </w:p>
          <w:p w14:paraId="07166141" w14:textId="77777777" w:rsidR="002C6B6E" w:rsidRPr="00441A8C" w:rsidRDefault="002C6B6E" w:rsidP="00441A8C">
            <w:pPr>
              <w:pStyle w:val="Akapitzlist"/>
              <w:numPr>
                <w:ilvl w:val="0"/>
                <w:numId w:val="25"/>
              </w:numPr>
              <w:spacing w:line="240" w:lineRule="auto"/>
              <w:jc w:val="left"/>
              <w:rPr>
                <w:rFonts w:cs="Arial"/>
                <w:color w:val="auto"/>
                <w:szCs w:val="22"/>
                <w:lang w:eastAsia="ja-JP"/>
              </w:rPr>
            </w:pPr>
            <w:r w:rsidRPr="00441A8C">
              <w:rPr>
                <w:rFonts w:cs="Arial"/>
                <w:color w:val="auto"/>
                <w:szCs w:val="22"/>
                <w:lang w:eastAsia="ja-JP"/>
              </w:rPr>
              <w:t>Prawidłowe procedury wdrażania działań, wymagające niewielkich modyfikacji przyspieszających proces naboru wniosków dla sektora nauki oraz proces rozliczania projektów dla sektora przedsiębiorstw.</w:t>
            </w:r>
          </w:p>
          <w:p w14:paraId="3FCEAFC3" w14:textId="77777777" w:rsidR="00441A8C" w:rsidRPr="00441A8C" w:rsidRDefault="00441A8C" w:rsidP="00441A8C">
            <w:pPr>
              <w:rPr>
                <w:rFonts w:cs="Arial"/>
                <w:lang w:eastAsia="ja-JP"/>
              </w:rPr>
            </w:pPr>
          </w:p>
          <w:p w14:paraId="71A289C6" w14:textId="77777777" w:rsidR="00441A8C" w:rsidRPr="00441A8C" w:rsidRDefault="00441A8C" w:rsidP="00441A8C">
            <w:pPr>
              <w:pStyle w:val="Akapitzlist"/>
              <w:spacing w:line="240" w:lineRule="auto"/>
              <w:ind w:left="288"/>
              <w:jc w:val="left"/>
              <w:rPr>
                <w:rFonts w:cs="Arial"/>
                <w:i/>
                <w:color w:val="auto"/>
                <w:szCs w:val="22"/>
                <w:lang w:eastAsia="ja-JP"/>
              </w:rPr>
            </w:pPr>
            <w:r w:rsidRPr="00441A8C">
              <w:rPr>
                <w:rFonts w:cs="Arial"/>
                <w:i/>
                <w:color w:val="auto"/>
                <w:szCs w:val="22"/>
                <w:lang w:eastAsia="ja-JP"/>
              </w:rPr>
              <w:t>(negatywne czynniki):</w:t>
            </w:r>
          </w:p>
          <w:p w14:paraId="009DB716" w14:textId="1A954DB7" w:rsidR="002C6B6E" w:rsidRPr="00441A8C" w:rsidRDefault="00441A8C" w:rsidP="00441A8C">
            <w:pPr>
              <w:pStyle w:val="Akapitzlist"/>
              <w:numPr>
                <w:ilvl w:val="0"/>
                <w:numId w:val="24"/>
              </w:numPr>
              <w:spacing w:line="240" w:lineRule="auto"/>
              <w:jc w:val="left"/>
              <w:rPr>
                <w:rFonts w:cs="Arial"/>
                <w:color w:val="auto"/>
                <w:szCs w:val="22"/>
                <w:lang w:eastAsia="ja-JP"/>
              </w:rPr>
            </w:pPr>
            <w:r>
              <w:rPr>
                <w:rFonts w:cs="Arial"/>
                <w:color w:val="auto"/>
                <w:szCs w:val="22"/>
                <w:lang w:eastAsia="ja-JP"/>
              </w:rPr>
              <w:t>p</w:t>
            </w:r>
            <w:r w:rsidR="002C6B6E" w:rsidRPr="00441A8C">
              <w:rPr>
                <w:rFonts w:cs="Arial"/>
                <w:color w:val="auto"/>
                <w:szCs w:val="22"/>
                <w:lang w:eastAsia="ja-JP"/>
              </w:rPr>
              <w:t>andemia COVID -19 – opóźnienia w realizacji projektów, czasowe wyłączenia z użytkowania wspartej infrastruktury.</w:t>
            </w:r>
          </w:p>
          <w:p w14:paraId="3D856A82" w14:textId="77777777" w:rsidR="002C6B6E" w:rsidRPr="00441A8C" w:rsidRDefault="002C6B6E" w:rsidP="00441A8C">
            <w:pPr>
              <w:pStyle w:val="Akapitzlist"/>
              <w:numPr>
                <w:ilvl w:val="0"/>
                <w:numId w:val="24"/>
              </w:numPr>
              <w:spacing w:line="240" w:lineRule="auto"/>
              <w:jc w:val="left"/>
              <w:rPr>
                <w:rFonts w:cs="Arial"/>
                <w:color w:val="auto"/>
                <w:szCs w:val="22"/>
                <w:lang w:eastAsia="ja-JP"/>
              </w:rPr>
            </w:pPr>
            <w:r w:rsidRPr="00441A8C">
              <w:rPr>
                <w:rFonts w:cs="Arial"/>
                <w:color w:val="auto"/>
                <w:szCs w:val="22"/>
                <w:lang w:eastAsia="ja-JP"/>
              </w:rPr>
              <w:t>Wzrost kosztów produktów i usług informatycznych oraz robót budowlanych, niedobór wykonawców na rynku.</w:t>
            </w:r>
          </w:p>
          <w:p w14:paraId="7D6CB795" w14:textId="4253DAD0" w:rsidR="002C6B6E" w:rsidRPr="00441A8C" w:rsidRDefault="002C6B6E" w:rsidP="00441A8C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cs="Arial"/>
                <w:lang w:eastAsia="ja-JP"/>
              </w:rPr>
            </w:pPr>
            <w:r w:rsidRPr="00441A8C">
              <w:rPr>
                <w:rFonts w:cs="Arial"/>
                <w:color w:val="auto"/>
                <w:lang w:eastAsia="ja-JP"/>
              </w:rPr>
              <w:t>Rosnąca konkurencja o pracowników, rosnące koszty pracy, brak specjalistów.</w:t>
            </w:r>
          </w:p>
        </w:tc>
      </w:tr>
      <w:tr w:rsidR="000A1E7E" w:rsidRPr="002155D8" w14:paraId="252BF892" w14:textId="77777777" w:rsidTr="00193620">
        <w:trPr>
          <w:gridAfter w:val="1"/>
          <w:wAfter w:w="37" w:type="dxa"/>
        </w:trPr>
        <w:tc>
          <w:tcPr>
            <w:tcW w:w="9030" w:type="dxa"/>
            <w:gridSpan w:val="3"/>
            <w:tcBorders>
              <w:top w:val="single" w:sz="4" w:space="0" w:color="EDEDED" w:themeColor="accent3" w:themeTint="33"/>
              <w:left w:val="single" w:sz="4" w:space="0" w:color="EDEDED" w:themeColor="accent3" w:themeTint="33"/>
              <w:bottom w:val="single" w:sz="4" w:space="0" w:color="EDEDED" w:themeColor="accent3" w:themeTint="33"/>
              <w:right w:val="single" w:sz="4" w:space="0" w:color="EDEDED" w:themeColor="accent3" w:themeTint="33"/>
            </w:tcBorders>
            <w:shd w:val="clear" w:color="auto" w:fill="FFFF66"/>
            <w:vAlign w:val="center"/>
          </w:tcPr>
          <w:p w14:paraId="7522EA91" w14:textId="77777777" w:rsidR="00441A8C" w:rsidRDefault="00441A8C" w:rsidP="002C6B6E">
            <w:pPr>
              <w:contextualSpacing/>
              <w:rPr>
                <w:rFonts w:ascii="Arial" w:hAnsi="Arial" w:cs="Arial"/>
                <w:b/>
                <w:bCs/>
                <w:smallCaps/>
                <w:sz w:val="24"/>
                <w:szCs w:val="24"/>
                <w:lang w:eastAsia="ja-JP"/>
              </w:rPr>
            </w:pPr>
          </w:p>
          <w:p w14:paraId="7F7B6FDF" w14:textId="43502832" w:rsidR="000A1E7E" w:rsidRPr="00441A8C" w:rsidRDefault="00441A8C" w:rsidP="002C6B6E">
            <w:pPr>
              <w:contextualSpacing/>
              <w:rPr>
                <w:rFonts w:ascii="Arial" w:hAnsi="Arial" w:cs="Arial"/>
                <w:b/>
                <w:bCs/>
                <w:smallCaps/>
                <w:sz w:val="24"/>
                <w:szCs w:val="24"/>
                <w:lang w:eastAsia="ja-JP"/>
              </w:rPr>
            </w:pPr>
            <w:r w:rsidRPr="00441A8C">
              <w:rPr>
                <w:rFonts w:ascii="Arial" w:hAnsi="Arial" w:cs="Arial"/>
                <w:b/>
                <w:bCs/>
                <w:smallCaps/>
                <w:sz w:val="24"/>
                <w:szCs w:val="24"/>
                <w:lang w:eastAsia="ja-JP"/>
              </w:rPr>
              <w:t>KLUCZOWE REKOMENDACJE</w:t>
            </w:r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  <w:lang w:eastAsia="ja-JP"/>
              </w:rPr>
              <w:t>:</w:t>
            </w:r>
          </w:p>
          <w:p w14:paraId="654CFCC8" w14:textId="77777777" w:rsidR="00441A8C" w:rsidRPr="00441A8C" w:rsidRDefault="00441A8C" w:rsidP="00441A8C">
            <w:pPr>
              <w:pStyle w:val="Akapitzlist"/>
              <w:numPr>
                <w:ilvl w:val="0"/>
                <w:numId w:val="26"/>
              </w:numPr>
              <w:spacing w:line="259" w:lineRule="auto"/>
              <w:jc w:val="left"/>
              <w:rPr>
                <w:rFonts w:cs="Arial"/>
                <w:color w:val="auto"/>
                <w:szCs w:val="22"/>
                <w:lang w:eastAsia="ja-JP"/>
              </w:rPr>
            </w:pPr>
            <w:r w:rsidRPr="00441A8C">
              <w:rPr>
                <w:rFonts w:cs="Arial"/>
                <w:color w:val="auto"/>
                <w:szCs w:val="22"/>
                <w:lang w:eastAsia="ja-JP"/>
              </w:rPr>
              <w:lastRenderedPageBreak/>
              <w:t>Podjęcie działań w celu skrócenia czasu między rozpoczęciem procedury naboru projektów na dofinansowanie regionalnej infrastruktury badawczej w ramach Kontraktu Programowego, a podpisywaniem umów o dofinansowanie.</w:t>
            </w:r>
          </w:p>
          <w:p w14:paraId="558A75F2" w14:textId="7D9CEDAA" w:rsidR="00441A8C" w:rsidRPr="00441A8C" w:rsidRDefault="00441A8C" w:rsidP="00441A8C">
            <w:pPr>
              <w:pStyle w:val="Akapitzlist"/>
              <w:numPr>
                <w:ilvl w:val="0"/>
                <w:numId w:val="26"/>
              </w:numPr>
              <w:spacing w:line="259" w:lineRule="auto"/>
              <w:jc w:val="left"/>
              <w:rPr>
                <w:rFonts w:cs="Arial"/>
                <w:color w:val="auto"/>
                <w:szCs w:val="22"/>
                <w:lang w:eastAsia="ja-JP"/>
              </w:rPr>
            </w:pPr>
            <w:r w:rsidRPr="00441A8C">
              <w:rPr>
                <w:rFonts w:cs="Arial"/>
                <w:color w:val="auto"/>
                <w:szCs w:val="22"/>
                <w:lang w:eastAsia="ja-JP"/>
              </w:rPr>
              <w:t>Rezygnacja z obligowania projektodawców w zakresie regionalnej infrastruktury badawczej do przedstawiania szczegółowych parametrów planowanej do nabycia aparatury lub wprowadzenie zasady</w:t>
            </w:r>
            <w:r w:rsidR="00C17558">
              <w:rPr>
                <w:rFonts w:cs="Arial"/>
                <w:color w:val="auto"/>
                <w:szCs w:val="22"/>
                <w:lang w:eastAsia="ja-JP"/>
              </w:rPr>
              <w:t>,</w:t>
            </w:r>
            <w:r w:rsidRPr="00441A8C">
              <w:rPr>
                <w:rFonts w:cs="Arial"/>
                <w:color w:val="auto"/>
                <w:szCs w:val="22"/>
                <w:lang w:eastAsia="ja-JP"/>
              </w:rPr>
              <w:t xml:space="preserve"> w myśl której </w:t>
            </w:r>
            <w:bookmarkStart w:id="0" w:name="_GoBack"/>
            <w:bookmarkEnd w:id="0"/>
            <w:r w:rsidRPr="00441A8C">
              <w:rPr>
                <w:rFonts w:cs="Arial"/>
                <w:color w:val="auto"/>
                <w:szCs w:val="22"/>
                <w:lang w:eastAsia="ja-JP"/>
              </w:rPr>
              <w:t xml:space="preserve">beneficjent nie musiałby występować o zgodę na nabycie urządzenia o lepszych parametrach. </w:t>
            </w:r>
          </w:p>
          <w:p w14:paraId="3BDBB755" w14:textId="77777777" w:rsidR="00441A8C" w:rsidRDefault="00441A8C" w:rsidP="00441A8C">
            <w:pPr>
              <w:pStyle w:val="Akapitzlist"/>
              <w:numPr>
                <w:ilvl w:val="0"/>
                <w:numId w:val="26"/>
              </w:numPr>
              <w:spacing w:line="276" w:lineRule="auto"/>
              <w:jc w:val="left"/>
              <w:rPr>
                <w:rFonts w:cs="Arial"/>
                <w:color w:val="auto"/>
                <w:szCs w:val="22"/>
                <w:lang w:eastAsia="ja-JP"/>
              </w:rPr>
            </w:pPr>
            <w:r w:rsidRPr="00441A8C">
              <w:rPr>
                <w:rFonts w:cs="Arial"/>
                <w:color w:val="auto"/>
                <w:szCs w:val="22"/>
                <w:lang w:eastAsia="ja-JP"/>
              </w:rPr>
              <w:t xml:space="preserve">Przyjęcie rozwiązań, które zminimalizują ryzyko wystąpienia sankcji finansowych po stronie beneficjentów wsparcia w zakresie regionalnej infrastruktury badawczej. </w:t>
            </w:r>
          </w:p>
          <w:p w14:paraId="58C92E01" w14:textId="5990F622" w:rsidR="000C2522" w:rsidRPr="000C2522" w:rsidRDefault="000C2522" w:rsidP="000C2522">
            <w:pPr>
              <w:pStyle w:val="Akapitzlist"/>
              <w:numPr>
                <w:ilvl w:val="0"/>
                <w:numId w:val="26"/>
              </w:numPr>
              <w:spacing w:line="259" w:lineRule="auto"/>
              <w:jc w:val="left"/>
              <w:rPr>
                <w:rFonts w:cs="Arial"/>
                <w:color w:val="auto"/>
                <w:szCs w:val="22"/>
                <w:lang w:eastAsia="ja-JP"/>
              </w:rPr>
            </w:pPr>
            <w:r w:rsidRPr="000C2522">
              <w:rPr>
                <w:rFonts w:cs="Arial"/>
                <w:color w:val="auto"/>
                <w:szCs w:val="22"/>
                <w:lang w:eastAsia="ja-JP"/>
              </w:rPr>
              <w:t>Stosowanie mechanizmu monitorowania jedynie w okresie trwałości projektu w zakresie wsparcia regionalnej infrastruktury badawczej</w:t>
            </w:r>
            <w:r>
              <w:rPr>
                <w:rFonts w:cs="Arial"/>
                <w:color w:val="auto"/>
                <w:szCs w:val="22"/>
                <w:lang w:eastAsia="ja-JP"/>
              </w:rPr>
              <w:t>.</w:t>
            </w:r>
          </w:p>
          <w:p w14:paraId="7714F95D" w14:textId="77777777" w:rsidR="00441A8C" w:rsidRPr="00441A8C" w:rsidRDefault="00441A8C" w:rsidP="00441A8C">
            <w:pPr>
              <w:pStyle w:val="Akapitzlist"/>
              <w:numPr>
                <w:ilvl w:val="0"/>
                <w:numId w:val="26"/>
              </w:numPr>
              <w:spacing w:line="259" w:lineRule="auto"/>
              <w:jc w:val="left"/>
              <w:rPr>
                <w:rFonts w:cs="Arial"/>
                <w:color w:val="auto"/>
                <w:szCs w:val="22"/>
                <w:lang w:eastAsia="ja-JP"/>
              </w:rPr>
            </w:pPr>
            <w:r w:rsidRPr="00441A8C">
              <w:rPr>
                <w:rFonts w:eastAsia="Calibri" w:cs="Arial"/>
                <w:color w:val="auto"/>
                <w:szCs w:val="22"/>
              </w:rPr>
              <w:t xml:space="preserve">Zwiększenie roli planu prac B+R </w:t>
            </w:r>
            <w:sdt>
              <w:sdtPr>
                <w:rPr>
                  <w:rFonts w:eastAsia="Calibri" w:cs="Arial"/>
                  <w:color w:val="auto"/>
                  <w:szCs w:val="22"/>
                </w:rPr>
                <w:tag w:val="goog_rdk_43"/>
                <w:id w:val="-199553037"/>
              </w:sdtPr>
              <w:sdtEndPr/>
              <w:sdtContent>
                <w:r w:rsidRPr="00441A8C">
                  <w:rPr>
                    <w:rFonts w:eastAsia="Calibri" w:cs="Arial"/>
                    <w:color w:val="auto"/>
                    <w:szCs w:val="22"/>
                  </w:rPr>
                  <w:t>zawartego</w:t>
                </w:r>
              </w:sdtContent>
            </w:sdt>
            <w:r w:rsidRPr="00441A8C">
              <w:rPr>
                <w:rFonts w:eastAsia="Calibri" w:cs="Arial"/>
                <w:color w:val="auto"/>
                <w:szCs w:val="22"/>
              </w:rPr>
              <w:t xml:space="preserve"> we </w:t>
            </w:r>
            <w:sdt>
              <w:sdtPr>
                <w:rPr>
                  <w:rFonts w:eastAsia="Calibri" w:cs="Arial"/>
                  <w:color w:val="auto"/>
                  <w:szCs w:val="22"/>
                </w:rPr>
                <w:tag w:val="goog_rdk_44"/>
                <w:id w:val="839820959"/>
              </w:sdtPr>
              <w:sdtEndPr/>
              <w:sdtContent>
                <w:r w:rsidRPr="00441A8C">
                  <w:rPr>
                    <w:rFonts w:eastAsia="Calibri" w:cs="Arial"/>
                    <w:color w:val="auto"/>
                    <w:szCs w:val="22"/>
                  </w:rPr>
                  <w:t>wniosku</w:t>
                </w:r>
              </w:sdtContent>
            </w:sdt>
            <w:r w:rsidRPr="00441A8C">
              <w:rPr>
                <w:rFonts w:eastAsia="Calibri" w:cs="Arial"/>
                <w:color w:val="auto"/>
                <w:szCs w:val="22"/>
              </w:rPr>
              <w:t xml:space="preserve"> o dofinansowanie dla przedsiębiorców, aby uszczegóławiał on zarówno faktyczne wyzwania badawcze lub obszary niewiedzy, jak i metody oraz zasoby służące do ich rozwiązania.</w:t>
            </w:r>
          </w:p>
          <w:p w14:paraId="7AAF5B8B" w14:textId="77777777" w:rsidR="00441A8C" w:rsidRPr="00441A8C" w:rsidRDefault="00441A8C" w:rsidP="00441A8C">
            <w:pPr>
              <w:pStyle w:val="Akapitzlist"/>
              <w:numPr>
                <w:ilvl w:val="0"/>
                <w:numId w:val="26"/>
              </w:numPr>
              <w:spacing w:line="259" w:lineRule="auto"/>
              <w:jc w:val="left"/>
              <w:rPr>
                <w:rFonts w:cs="Arial"/>
                <w:color w:val="auto"/>
                <w:szCs w:val="22"/>
                <w:lang w:eastAsia="ja-JP"/>
              </w:rPr>
            </w:pPr>
            <w:r w:rsidRPr="00441A8C">
              <w:rPr>
                <w:rFonts w:cs="Arial"/>
                <w:color w:val="auto"/>
                <w:szCs w:val="22"/>
                <w:lang w:eastAsia="ja-JP"/>
              </w:rPr>
              <w:t>Zastosowanie w większej skali rozliczeń ryczałtowych w projektach B+R skierowanych do przedsiębiorców.</w:t>
            </w:r>
          </w:p>
          <w:p w14:paraId="3457DFF4" w14:textId="77777777" w:rsidR="00441A8C" w:rsidRPr="00441A8C" w:rsidRDefault="00441A8C" w:rsidP="00441A8C">
            <w:pPr>
              <w:pStyle w:val="Akapitzlist"/>
              <w:numPr>
                <w:ilvl w:val="0"/>
                <w:numId w:val="26"/>
              </w:numPr>
              <w:spacing w:line="259" w:lineRule="auto"/>
              <w:jc w:val="left"/>
              <w:rPr>
                <w:rFonts w:cs="Arial"/>
                <w:color w:val="auto"/>
                <w:szCs w:val="22"/>
                <w:lang w:eastAsia="ja-JP"/>
              </w:rPr>
            </w:pPr>
            <w:r w:rsidRPr="00441A8C">
              <w:rPr>
                <w:rFonts w:cs="Arial"/>
                <w:color w:val="auto"/>
                <w:szCs w:val="22"/>
                <w:lang w:eastAsia="ja-JP"/>
              </w:rPr>
              <w:t>Wypracowanie kompleksowego podejścia do budowania potencjału IOB w ramach udzielanego wsparcia.</w:t>
            </w:r>
          </w:p>
          <w:p w14:paraId="3D7FA796" w14:textId="2A37623E" w:rsidR="00441A8C" w:rsidRPr="00441A8C" w:rsidRDefault="00441A8C" w:rsidP="00441A8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="Arial"/>
                <w:b/>
                <w:bCs/>
                <w:smallCaps/>
                <w:lang w:eastAsia="ja-JP"/>
              </w:rPr>
            </w:pPr>
            <w:r w:rsidRPr="00441A8C">
              <w:rPr>
                <w:rFonts w:cs="Arial"/>
                <w:color w:val="auto"/>
                <w:lang w:eastAsia="ja-JP"/>
              </w:rPr>
              <w:t xml:space="preserve">Powierzenie wdrażania miękkich projektów w zakresie rozwoju ekosystemu innowacji </w:t>
            </w:r>
            <w:r w:rsidRPr="00441A8C">
              <w:rPr>
                <w:rFonts w:cs="Arial"/>
                <w:lang w:eastAsia="ja-JP"/>
              </w:rPr>
              <w:t>Wojewódzkiemu Urzędowi Pracy.</w:t>
            </w:r>
          </w:p>
          <w:p w14:paraId="4CF66FCD" w14:textId="3B70F5A2" w:rsidR="00441A8C" w:rsidRPr="002C6B6E" w:rsidRDefault="00441A8C" w:rsidP="002C6B6E">
            <w:pPr>
              <w:contextualSpacing/>
              <w:rPr>
                <w:rFonts w:ascii="Arial" w:hAnsi="Arial" w:cs="Arial"/>
                <w:b/>
                <w:bCs/>
                <w:smallCaps/>
                <w:lang w:eastAsia="ja-JP"/>
              </w:rPr>
            </w:pPr>
          </w:p>
        </w:tc>
      </w:tr>
      <w:tr w:rsidR="00B9105C" w:rsidRPr="00387151" w14:paraId="0E3F76A9" w14:textId="77777777" w:rsidTr="004612A9">
        <w:trPr>
          <w:gridAfter w:val="1"/>
          <w:wAfter w:w="37" w:type="dxa"/>
        </w:trPr>
        <w:tc>
          <w:tcPr>
            <w:tcW w:w="6663" w:type="dxa"/>
            <w:gridSpan w:val="2"/>
            <w:shd w:val="clear" w:color="auto" w:fill="EDEDED" w:themeFill="accent3" w:themeFillTint="33"/>
            <w:vAlign w:val="center"/>
          </w:tcPr>
          <w:p w14:paraId="578DA5CD" w14:textId="77777777" w:rsidR="00441A8C" w:rsidRDefault="00441A8C" w:rsidP="002C6B6E">
            <w:pPr>
              <w:spacing w:before="120" w:after="120"/>
              <w:contextualSpacing/>
              <w:rPr>
                <w:rFonts w:ascii="Arial" w:eastAsia="Times New Roman" w:hAnsi="Arial" w:cs="Arial"/>
                <w:i/>
                <w:iCs/>
                <w:color w:val="000000"/>
                <w:lang w:eastAsia="ja-JP"/>
              </w:rPr>
            </w:pPr>
          </w:p>
          <w:p w14:paraId="6C67DA66" w14:textId="77777777" w:rsidR="00B9105C" w:rsidRPr="002C6B6E" w:rsidRDefault="00B9105C" w:rsidP="002C6B6E">
            <w:pPr>
              <w:spacing w:before="120" w:after="120"/>
              <w:contextualSpacing/>
              <w:rPr>
                <w:rFonts w:ascii="Arial" w:eastAsia="Times New Roman" w:hAnsi="Arial" w:cs="Arial"/>
                <w:i/>
                <w:iCs/>
                <w:color w:val="000000"/>
                <w:lang w:eastAsia="ja-JP"/>
              </w:rPr>
            </w:pPr>
            <w:r w:rsidRPr="002C6B6E">
              <w:rPr>
                <w:rFonts w:ascii="Arial" w:eastAsia="Times New Roman" w:hAnsi="Arial" w:cs="Arial"/>
                <w:i/>
                <w:iCs/>
                <w:color w:val="000000"/>
                <w:lang w:eastAsia="ja-JP"/>
              </w:rPr>
              <w:t xml:space="preserve">Badanie zrealizowane na zlecenie Urzędu Marszałkowskiego Województwa Śląskiego </w:t>
            </w:r>
          </w:p>
          <w:p w14:paraId="1AE75706" w14:textId="39C9471E" w:rsidR="00B9105C" w:rsidRPr="002C6B6E" w:rsidRDefault="00B9105C" w:rsidP="002C6B6E">
            <w:pPr>
              <w:spacing w:before="120" w:after="120"/>
              <w:contextualSpacing/>
              <w:rPr>
                <w:rFonts w:ascii="Arial" w:eastAsia="Times New Roman" w:hAnsi="Arial" w:cs="Arial"/>
                <w:color w:val="000000"/>
                <w:lang w:val="en-US" w:eastAsia="ja-JP"/>
              </w:rPr>
            </w:pPr>
            <w:r w:rsidRPr="002C6B6E">
              <w:rPr>
                <w:rFonts w:ascii="Arial" w:eastAsia="Times New Roman" w:hAnsi="Arial" w:cs="Arial"/>
                <w:i/>
                <w:iCs/>
                <w:color w:val="000000"/>
                <w:lang w:val="en-US" w:eastAsia="ja-JP"/>
              </w:rPr>
              <w:t xml:space="preserve">przez </w:t>
            </w:r>
            <w:r w:rsidR="001317DF" w:rsidRPr="002C6B6E">
              <w:rPr>
                <w:rFonts w:ascii="Arial" w:eastAsia="Times New Roman" w:hAnsi="Arial" w:cs="Arial"/>
                <w:i/>
                <w:iCs/>
                <w:color w:val="000000"/>
                <w:lang w:val="en-US" w:eastAsia="ja-JP"/>
              </w:rPr>
              <w:t xml:space="preserve">konsorcjum firm </w:t>
            </w:r>
            <w:r w:rsidR="00387151" w:rsidRPr="002C6B6E">
              <w:rPr>
                <w:rFonts w:ascii="Arial" w:eastAsia="Times New Roman" w:hAnsi="Arial" w:cs="Arial"/>
                <w:i/>
                <w:iCs/>
                <w:color w:val="000000"/>
                <w:lang w:val="en-US" w:eastAsia="ja-JP"/>
              </w:rPr>
              <w:t>badawczych</w:t>
            </w:r>
            <w:r w:rsidR="00387151" w:rsidRPr="002C6B6E">
              <w:rPr>
                <w:rFonts w:ascii="Arial" w:eastAsia="Times New Roman" w:hAnsi="Arial" w:cs="Arial"/>
                <w:b/>
                <w:i/>
                <w:iCs/>
                <w:color w:val="000000"/>
                <w:lang w:val="en-US" w:eastAsia="ja-JP"/>
              </w:rPr>
              <w:t xml:space="preserve">: </w:t>
            </w:r>
            <w:r w:rsidR="001317DF" w:rsidRPr="002C6B6E">
              <w:rPr>
                <w:rFonts w:ascii="Arial" w:eastAsia="Times New Roman" w:hAnsi="Arial" w:cs="Arial"/>
                <w:b/>
                <w:i/>
                <w:iCs/>
                <w:color w:val="000000"/>
                <w:lang w:val="en-US" w:eastAsia="ja-JP"/>
              </w:rPr>
              <w:t>EGO</w:t>
            </w:r>
            <w:r w:rsidR="001317DF" w:rsidRPr="002C6B6E">
              <w:rPr>
                <w:rFonts w:ascii="Arial" w:eastAsia="Times New Roman" w:hAnsi="Arial" w:cs="Arial"/>
                <w:i/>
                <w:iCs/>
                <w:color w:val="000000"/>
                <w:lang w:val="en-US" w:eastAsia="ja-JP"/>
              </w:rPr>
              <w:t xml:space="preserve"> – Evaluation for Government Organizations S.C.</w:t>
            </w:r>
            <w:r w:rsidR="00387151" w:rsidRPr="002C6B6E">
              <w:rPr>
                <w:rFonts w:ascii="Arial" w:eastAsia="Times New Roman" w:hAnsi="Arial" w:cs="Arial"/>
                <w:i/>
                <w:iCs/>
                <w:color w:val="000000"/>
                <w:lang w:val="en-US" w:eastAsia="ja-JP"/>
              </w:rPr>
              <w:t xml:space="preserve"> </w:t>
            </w:r>
            <w:r w:rsidR="00387151" w:rsidRPr="002C6B6E">
              <w:rPr>
                <w:rFonts w:ascii="Arial" w:eastAsia="Times New Roman" w:hAnsi="Arial" w:cs="Arial"/>
                <w:b/>
                <w:i/>
                <w:iCs/>
                <w:color w:val="000000"/>
                <w:lang w:val="en-US" w:eastAsia="ja-JP"/>
              </w:rPr>
              <w:t xml:space="preserve">oraz </w:t>
            </w:r>
            <w:r w:rsidR="001317DF" w:rsidRPr="002C6B6E">
              <w:rPr>
                <w:rFonts w:ascii="Arial" w:eastAsia="Times New Roman" w:hAnsi="Arial" w:cs="Arial"/>
                <w:b/>
                <w:i/>
                <w:iCs/>
                <w:color w:val="000000"/>
                <w:lang w:val="en-US" w:eastAsia="ja-JP"/>
              </w:rPr>
              <w:t>LB&amp;E</w:t>
            </w:r>
          </w:p>
        </w:tc>
        <w:tc>
          <w:tcPr>
            <w:tcW w:w="2367" w:type="dxa"/>
            <w:vAlign w:val="center"/>
          </w:tcPr>
          <w:p w14:paraId="4D8F51BC" w14:textId="29C0ACC2" w:rsidR="00B9105C" w:rsidRPr="002C6B6E" w:rsidRDefault="00153C4C" w:rsidP="002C6B6E">
            <w:pPr>
              <w:pStyle w:val="Akapitzlist"/>
              <w:spacing w:before="120" w:after="120" w:line="259" w:lineRule="auto"/>
              <w:ind w:left="0"/>
              <w:contextualSpacing w:val="0"/>
              <w:jc w:val="left"/>
              <w:rPr>
                <w:rFonts w:cs="Arial"/>
                <w:i/>
                <w:iCs/>
                <w:szCs w:val="22"/>
                <w:lang w:eastAsia="ja-JP"/>
              </w:rPr>
            </w:pPr>
            <w:r w:rsidRPr="00441A8C">
              <w:rPr>
                <w:rFonts w:cs="Arial"/>
                <w:i/>
                <w:iCs/>
                <w:szCs w:val="22"/>
                <w:lang w:eastAsia="ja-JP"/>
              </w:rPr>
              <w:t xml:space="preserve"> </w:t>
            </w:r>
            <w:r w:rsidRPr="002C6B6E">
              <w:rPr>
                <w:rFonts w:cs="Arial"/>
                <w:i/>
                <w:iCs/>
                <w:szCs w:val="22"/>
                <w:lang w:eastAsia="ja-JP"/>
              </w:rPr>
              <w:t xml:space="preserve">ikonka </w:t>
            </w:r>
            <w:r w:rsidR="00441A8C">
              <w:rPr>
                <w:rFonts w:cs="Arial"/>
                <w:i/>
                <w:iCs/>
                <w:szCs w:val="22"/>
                <w:lang w:eastAsia="ja-JP"/>
              </w:rPr>
              <w:t xml:space="preserve">graficzna firm </w:t>
            </w:r>
            <w:r w:rsidR="00D20AD8" w:rsidRPr="002C6B6E">
              <w:rPr>
                <w:rFonts w:cs="Arial"/>
                <w:i/>
                <w:iCs/>
                <w:szCs w:val="22"/>
                <w:lang w:eastAsia="ja-JP"/>
              </w:rPr>
              <w:t xml:space="preserve">LB&amp;E i </w:t>
            </w:r>
            <w:r w:rsidRPr="002C6B6E">
              <w:rPr>
                <w:rFonts w:cs="Arial"/>
                <w:i/>
                <w:iCs/>
                <w:szCs w:val="22"/>
                <w:lang w:eastAsia="ja-JP"/>
              </w:rPr>
              <w:t>EGO</w:t>
            </w:r>
          </w:p>
        </w:tc>
      </w:tr>
    </w:tbl>
    <w:p w14:paraId="1151E75F" w14:textId="77777777" w:rsidR="00BC71B6" w:rsidRPr="00D20AD8" w:rsidRDefault="00BC71B6" w:rsidP="00426913">
      <w:pPr>
        <w:spacing w:after="0"/>
        <w:contextualSpacing/>
        <w:rPr>
          <w:rFonts w:ascii="Arial" w:hAnsi="Arial" w:cs="Arial"/>
        </w:rPr>
      </w:pPr>
    </w:p>
    <w:sectPr w:rsidR="00BC71B6" w:rsidRPr="00D20AD8" w:rsidSect="001B4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F3CDB" w14:textId="77777777" w:rsidR="00A61254" w:rsidRDefault="00A61254" w:rsidP="00687679">
      <w:pPr>
        <w:spacing w:after="0" w:line="240" w:lineRule="auto"/>
      </w:pPr>
      <w:r>
        <w:separator/>
      </w:r>
    </w:p>
  </w:endnote>
  <w:endnote w:type="continuationSeparator" w:id="0">
    <w:p w14:paraId="2850104C" w14:textId="77777777" w:rsidR="00A61254" w:rsidRDefault="00A61254" w:rsidP="0068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61B3A" w14:textId="77777777" w:rsidR="00A61254" w:rsidRDefault="00A61254" w:rsidP="00687679">
      <w:pPr>
        <w:spacing w:after="0" w:line="240" w:lineRule="auto"/>
      </w:pPr>
      <w:r>
        <w:separator/>
      </w:r>
    </w:p>
  </w:footnote>
  <w:footnote w:type="continuationSeparator" w:id="0">
    <w:p w14:paraId="5F926D9F" w14:textId="77777777" w:rsidR="00A61254" w:rsidRDefault="00A61254" w:rsidP="00687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030"/>
    <w:multiLevelType w:val="hybridMultilevel"/>
    <w:tmpl w:val="C30084C6"/>
    <w:lvl w:ilvl="0" w:tplc="BE6A662A">
      <w:start w:val="30"/>
      <w:numFmt w:val="decimal"/>
      <w:lvlText w:val="%1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6" w:hanging="360"/>
      </w:pPr>
    </w:lvl>
    <w:lvl w:ilvl="2" w:tplc="0415001B" w:tentative="1">
      <w:start w:val="1"/>
      <w:numFmt w:val="lowerRoman"/>
      <w:lvlText w:val="%3."/>
      <w:lvlJc w:val="right"/>
      <w:pPr>
        <w:ind w:left="3926" w:hanging="180"/>
      </w:pPr>
    </w:lvl>
    <w:lvl w:ilvl="3" w:tplc="0415000F" w:tentative="1">
      <w:start w:val="1"/>
      <w:numFmt w:val="decimal"/>
      <w:lvlText w:val="%4."/>
      <w:lvlJc w:val="left"/>
      <w:pPr>
        <w:ind w:left="4646" w:hanging="360"/>
      </w:pPr>
    </w:lvl>
    <w:lvl w:ilvl="4" w:tplc="04150019" w:tentative="1">
      <w:start w:val="1"/>
      <w:numFmt w:val="lowerLetter"/>
      <w:lvlText w:val="%5."/>
      <w:lvlJc w:val="left"/>
      <w:pPr>
        <w:ind w:left="5366" w:hanging="360"/>
      </w:pPr>
    </w:lvl>
    <w:lvl w:ilvl="5" w:tplc="0415001B" w:tentative="1">
      <w:start w:val="1"/>
      <w:numFmt w:val="lowerRoman"/>
      <w:lvlText w:val="%6."/>
      <w:lvlJc w:val="right"/>
      <w:pPr>
        <w:ind w:left="6086" w:hanging="180"/>
      </w:pPr>
    </w:lvl>
    <w:lvl w:ilvl="6" w:tplc="0415000F" w:tentative="1">
      <w:start w:val="1"/>
      <w:numFmt w:val="decimal"/>
      <w:lvlText w:val="%7."/>
      <w:lvlJc w:val="left"/>
      <w:pPr>
        <w:ind w:left="6806" w:hanging="360"/>
      </w:pPr>
    </w:lvl>
    <w:lvl w:ilvl="7" w:tplc="04150019" w:tentative="1">
      <w:start w:val="1"/>
      <w:numFmt w:val="lowerLetter"/>
      <w:lvlText w:val="%8."/>
      <w:lvlJc w:val="left"/>
      <w:pPr>
        <w:ind w:left="7526" w:hanging="360"/>
      </w:pPr>
    </w:lvl>
    <w:lvl w:ilvl="8" w:tplc="041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 w15:restartNumberingAfterBreak="0">
    <w:nsid w:val="05431D24"/>
    <w:multiLevelType w:val="hybridMultilevel"/>
    <w:tmpl w:val="24621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70312"/>
    <w:multiLevelType w:val="hybridMultilevel"/>
    <w:tmpl w:val="F118EBFC"/>
    <w:lvl w:ilvl="0" w:tplc="B2249FF0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1C7"/>
    <w:multiLevelType w:val="hybridMultilevel"/>
    <w:tmpl w:val="5B124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92758"/>
    <w:multiLevelType w:val="hybridMultilevel"/>
    <w:tmpl w:val="2EA84A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2746A"/>
    <w:multiLevelType w:val="hybridMultilevel"/>
    <w:tmpl w:val="A7A63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26991"/>
    <w:multiLevelType w:val="hybridMultilevel"/>
    <w:tmpl w:val="71B0F6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C3574"/>
    <w:multiLevelType w:val="hybridMultilevel"/>
    <w:tmpl w:val="6E42371A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B7600"/>
    <w:multiLevelType w:val="hybridMultilevel"/>
    <w:tmpl w:val="818E9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43A7B"/>
    <w:multiLevelType w:val="hybridMultilevel"/>
    <w:tmpl w:val="61020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93C47"/>
    <w:multiLevelType w:val="hybridMultilevel"/>
    <w:tmpl w:val="E9D2A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1481F"/>
    <w:multiLevelType w:val="hybridMultilevel"/>
    <w:tmpl w:val="2E0498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A3737"/>
    <w:multiLevelType w:val="hybridMultilevel"/>
    <w:tmpl w:val="FE3CD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B389C"/>
    <w:multiLevelType w:val="hybridMultilevel"/>
    <w:tmpl w:val="DA0CAE94"/>
    <w:lvl w:ilvl="0" w:tplc="23CEDDF0">
      <w:start w:val="1"/>
      <w:numFmt w:val="bullet"/>
      <w:lvlText w:val="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4156E"/>
    <w:multiLevelType w:val="hybridMultilevel"/>
    <w:tmpl w:val="AA20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D6518"/>
    <w:multiLevelType w:val="hybridMultilevel"/>
    <w:tmpl w:val="3D1CC0E4"/>
    <w:lvl w:ilvl="0" w:tplc="23CEDDF0">
      <w:start w:val="1"/>
      <w:numFmt w:val="bullet"/>
      <w:lvlText w:val="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36E36"/>
    <w:multiLevelType w:val="hybridMultilevel"/>
    <w:tmpl w:val="BD32B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209C7"/>
    <w:multiLevelType w:val="hybridMultilevel"/>
    <w:tmpl w:val="6EB6C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C3F35"/>
    <w:multiLevelType w:val="hybridMultilevel"/>
    <w:tmpl w:val="CB7E2D68"/>
    <w:lvl w:ilvl="0" w:tplc="23CEDDF0">
      <w:start w:val="1"/>
      <w:numFmt w:val="bullet"/>
      <w:lvlText w:val="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01356"/>
    <w:multiLevelType w:val="hybridMultilevel"/>
    <w:tmpl w:val="1660E78E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0" w15:restartNumberingAfterBreak="0">
    <w:nsid w:val="5ED15586"/>
    <w:multiLevelType w:val="hybridMultilevel"/>
    <w:tmpl w:val="920EB4B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A3967C9"/>
    <w:multiLevelType w:val="hybridMultilevel"/>
    <w:tmpl w:val="240413C0"/>
    <w:lvl w:ilvl="0" w:tplc="36A26854">
      <w:start w:val="1"/>
      <w:numFmt w:val="bullet"/>
      <w:lvlText w:val=""/>
      <w:lvlJc w:val="left"/>
      <w:pPr>
        <w:ind w:left="13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B183E"/>
    <w:multiLevelType w:val="hybridMultilevel"/>
    <w:tmpl w:val="7FC4E56E"/>
    <w:lvl w:ilvl="0" w:tplc="36A2685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D24C8"/>
    <w:multiLevelType w:val="hybridMultilevel"/>
    <w:tmpl w:val="7468310C"/>
    <w:lvl w:ilvl="0" w:tplc="0415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4" w15:restartNumberingAfterBreak="0">
    <w:nsid w:val="7ACE7207"/>
    <w:multiLevelType w:val="hybridMultilevel"/>
    <w:tmpl w:val="6F3EF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24326"/>
    <w:multiLevelType w:val="hybridMultilevel"/>
    <w:tmpl w:val="83C800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0"/>
  </w:num>
  <w:num w:numId="4">
    <w:abstractNumId w:val="4"/>
  </w:num>
  <w:num w:numId="5">
    <w:abstractNumId w:val="6"/>
  </w:num>
  <w:num w:numId="6">
    <w:abstractNumId w:val="25"/>
  </w:num>
  <w:num w:numId="7">
    <w:abstractNumId w:val="11"/>
  </w:num>
  <w:num w:numId="8">
    <w:abstractNumId w:val="1"/>
  </w:num>
  <w:num w:numId="9">
    <w:abstractNumId w:val="7"/>
  </w:num>
  <w:num w:numId="10">
    <w:abstractNumId w:val="21"/>
  </w:num>
  <w:num w:numId="11">
    <w:abstractNumId w:val="8"/>
  </w:num>
  <w:num w:numId="12">
    <w:abstractNumId w:val="18"/>
  </w:num>
  <w:num w:numId="13">
    <w:abstractNumId w:val="24"/>
  </w:num>
  <w:num w:numId="14">
    <w:abstractNumId w:val="2"/>
  </w:num>
  <w:num w:numId="15">
    <w:abstractNumId w:val="13"/>
  </w:num>
  <w:num w:numId="16">
    <w:abstractNumId w:val="15"/>
  </w:num>
  <w:num w:numId="17">
    <w:abstractNumId w:val="23"/>
  </w:num>
  <w:num w:numId="18">
    <w:abstractNumId w:val="19"/>
  </w:num>
  <w:num w:numId="19">
    <w:abstractNumId w:val="22"/>
  </w:num>
  <w:num w:numId="20">
    <w:abstractNumId w:val="17"/>
  </w:num>
  <w:num w:numId="21">
    <w:abstractNumId w:val="9"/>
  </w:num>
  <w:num w:numId="22">
    <w:abstractNumId w:val="5"/>
  </w:num>
  <w:num w:numId="23">
    <w:abstractNumId w:val="3"/>
  </w:num>
  <w:num w:numId="24">
    <w:abstractNumId w:val="14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D"/>
    <w:rsid w:val="0000034F"/>
    <w:rsid w:val="00007D83"/>
    <w:rsid w:val="00015021"/>
    <w:rsid w:val="000243A4"/>
    <w:rsid w:val="00030CAC"/>
    <w:rsid w:val="000529F2"/>
    <w:rsid w:val="000645EB"/>
    <w:rsid w:val="00076B4B"/>
    <w:rsid w:val="0008223B"/>
    <w:rsid w:val="000A1E7E"/>
    <w:rsid w:val="000A62BB"/>
    <w:rsid w:val="000C1395"/>
    <w:rsid w:val="000C2522"/>
    <w:rsid w:val="000C34F6"/>
    <w:rsid w:val="000C38C9"/>
    <w:rsid w:val="000C58DB"/>
    <w:rsid w:val="000C7503"/>
    <w:rsid w:val="000E56A7"/>
    <w:rsid w:val="000F19FE"/>
    <w:rsid w:val="000F27FD"/>
    <w:rsid w:val="001155A8"/>
    <w:rsid w:val="001317DF"/>
    <w:rsid w:val="00141C6D"/>
    <w:rsid w:val="00153C4C"/>
    <w:rsid w:val="00163BD5"/>
    <w:rsid w:val="00182E17"/>
    <w:rsid w:val="00191BA4"/>
    <w:rsid w:val="00193620"/>
    <w:rsid w:val="001A3262"/>
    <w:rsid w:val="001B47D2"/>
    <w:rsid w:val="001B4BFF"/>
    <w:rsid w:val="001E743E"/>
    <w:rsid w:val="002061FC"/>
    <w:rsid w:val="002155D8"/>
    <w:rsid w:val="00263128"/>
    <w:rsid w:val="00266ED2"/>
    <w:rsid w:val="0027459C"/>
    <w:rsid w:val="002C6B6E"/>
    <w:rsid w:val="002E7D8B"/>
    <w:rsid w:val="003031D7"/>
    <w:rsid w:val="00334628"/>
    <w:rsid w:val="00345F8F"/>
    <w:rsid w:val="00384EAB"/>
    <w:rsid w:val="00387151"/>
    <w:rsid w:val="003A731A"/>
    <w:rsid w:val="003D0369"/>
    <w:rsid w:val="003E209D"/>
    <w:rsid w:val="003F3323"/>
    <w:rsid w:val="00421DC1"/>
    <w:rsid w:val="00426913"/>
    <w:rsid w:val="004322DA"/>
    <w:rsid w:val="00437305"/>
    <w:rsid w:val="00441A8C"/>
    <w:rsid w:val="004612A9"/>
    <w:rsid w:val="00483E97"/>
    <w:rsid w:val="004A2ABB"/>
    <w:rsid w:val="004A7241"/>
    <w:rsid w:val="004A7685"/>
    <w:rsid w:val="004F770D"/>
    <w:rsid w:val="005141BC"/>
    <w:rsid w:val="005216FA"/>
    <w:rsid w:val="005477BC"/>
    <w:rsid w:val="005575FB"/>
    <w:rsid w:val="00564E91"/>
    <w:rsid w:val="00571309"/>
    <w:rsid w:val="00583CA6"/>
    <w:rsid w:val="005926F1"/>
    <w:rsid w:val="005C7F5C"/>
    <w:rsid w:val="005D0069"/>
    <w:rsid w:val="00603F34"/>
    <w:rsid w:val="00611243"/>
    <w:rsid w:val="0061448A"/>
    <w:rsid w:val="006404EA"/>
    <w:rsid w:val="00642413"/>
    <w:rsid w:val="00643BE3"/>
    <w:rsid w:val="0067483E"/>
    <w:rsid w:val="0068458E"/>
    <w:rsid w:val="00685663"/>
    <w:rsid w:val="00687679"/>
    <w:rsid w:val="006C6600"/>
    <w:rsid w:val="006D37A7"/>
    <w:rsid w:val="006D43AA"/>
    <w:rsid w:val="006F33EA"/>
    <w:rsid w:val="00704FA9"/>
    <w:rsid w:val="00744744"/>
    <w:rsid w:val="00750534"/>
    <w:rsid w:val="007751D9"/>
    <w:rsid w:val="007751E2"/>
    <w:rsid w:val="00787D43"/>
    <w:rsid w:val="007A28BA"/>
    <w:rsid w:val="007A4A0C"/>
    <w:rsid w:val="007B27D3"/>
    <w:rsid w:val="007C446E"/>
    <w:rsid w:val="007F6BD2"/>
    <w:rsid w:val="00861609"/>
    <w:rsid w:val="00874B88"/>
    <w:rsid w:val="00881FE7"/>
    <w:rsid w:val="008863A3"/>
    <w:rsid w:val="008B08BA"/>
    <w:rsid w:val="008C664B"/>
    <w:rsid w:val="008D16D9"/>
    <w:rsid w:val="008E1993"/>
    <w:rsid w:val="008E6BBD"/>
    <w:rsid w:val="00902AD5"/>
    <w:rsid w:val="009164F6"/>
    <w:rsid w:val="0093631B"/>
    <w:rsid w:val="00936BBB"/>
    <w:rsid w:val="00957087"/>
    <w:rsid w:val="00973B29"/>
    <w:rsid w:val="009A2C04"/>
    <w:rsid w:val="009D1FE3"/>
    <w:rsid w:val="009E1CD8"/>
    <w:rsid w:val="00A149A2"/>
    <w:rsid w:val="00A325C8"/>
    <w:rsid w:val="00A61254"/>
    <w:rsid w:val="00A64DD1"/>
    <w:rsid w:val="00A80C3E"/>
    <w:rsid w:val="00A86E15"/>
    <w:rsid w:val="00AA224E"/>
    <w:rsid w:val="00AB7D71"/>
    <w:rsid w:val="00AC0B82"/>
    <w:rsid w:val="00AD5C2A"/>
    <w:rsid w:val="00B000BE"/>
    <w:rsid w:val="00B8704B"/>
    <w:rsid w:val="00B9105C"/>
    <w:rsid w:val="00BA393E"/>
    <w:rsid w:val="00BB07E4"/>
    <w:rsid w:val="00BC4BF2"/>
    <w:rsid w:val="00BC71B6"/>
    <w:rsid w:val="00BF5F39"/>
    <w:rsid w:val="00C04041"/>
    <w:rsid w:val="00C17558"/>
    <w:rsid w:val="00C176CF"/>
    <w:rsid w:val="00C80763"/>
    <w:rsid w:val="00C834D3"/>
    <w:rsid w:val="00CA5659"/>
    <w:rsid w:val="00CB1D63"/>
    <w:rsid w:val="00CB2036"/>
    <w:rsid w:val="00CB3137"/>
    <w:rsid w:val="00CD490F"/>
    <w:rsid w:val="00D12289"/>
    <w:rsid w:val="00D168C6"/>
    <w:rsid w:val="00D20AD8"/>
    <w:rsid w:val="00D37FC9"/>
    <w:rsid w:val="00D7416D"/>
    <w:rsid w:val="00D742BA"/>
    <w:rsid w:val="00DA0686"/>
    <w:rsid w:val="00DB31F2"/>
    <w:rsid w:val="00DC0383"/>
    <w:rsid w:val="00DC709C"/>
    <w:rsid w:val="00DD0B79"/>
    <w:rsid w:val="00DE30B1"/>
    <w:rsid w:val="00E004DF"/>
    <w:rsid w:val="00E00729"/>
    <w:rsid w:val="00E128A0"/>
    <w:rsid w:val="00E17422"/>
    <w:rsid w:val="00E22545"/>
    <w:rsid w:val="00E24BAD"/>
    <w:rsid w:val="00E30C66"/>
    <w:rsid w:val="00E41116"/>
    <w:rsid w:val="00E52B57"/>
    <w:rsid w:val="00E60AF2"/>
    <w:rsid w:val="00E856B7"/>
    <w:rsid w:val="00E91589"/>
    <w:rsid w:val="00EC7C99"/>
    <w:rsid w:val="00F112B2"/>
    <w:rsid w:val="00F1552D"/>
    <w:rsid w:val="00F3684C"/>
    <w:rsid w:val="00F4308F"/>
    <w:rsid w:val="00F50760"/>
    <w:rsid w:val="00F54102"/>
    <w:rsid w:val="00F554B4"/>
    <w:rsid w:val="00F5582A"/>
    <w:rsid w:val="00FB2528"/>
    <w:rsid w:val="00FB3CED"/>
    <w:rsid w:val="00FB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6E27"/>
  <w15:docId w15:val="{91C3EB84-13A0-4C66-9413-90F5D482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7D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maz_wyliczenie,opis dzialania,K-P_odwolanie,A_wyliczenie,Akapit z listą 1,Table of contents numbered,Akapit z listą5,Akapit z listą5CxSpLast,Tekst punktowanie,Numerowanie,List Paragraph,BulletC,Akapit z listą BS,CW_Lista"/>
    <w:basedOn w:val="Normalny"/>
    <w:link w:val="AkapitzlistZnak"/>
    <w:uiPriority w:val="34"/>
    <w:qFormat/>
    <w:rsid w:val="001E743E"/>
    <w:pPr>
      <w:spacing w:before="60" w:after="60" w:line="360" w:lineRule="auto"/>
      <w:ind w:left="720"/>
      <w:contextualSpacing/>
      <w:jc w:val="both"/>
    </w:pPr>
    <w:rPr>
      <w:rFonts w:ascii="Arial" w:eastAsia="Times New Roman" w:hAnsi="Arial" w:cs="Times New Roman"/>
      <w:color w:val="000000"/>
      <w:szCs w:val="24"/>
    </w:rPr>
  </w:style>
  <w:style w:type="character" w:customStyle="1" w:styleId="AkapitzlistZnak">
    <w:name w:val="Akapit z listą Znak"/>
    <w:aliases w:val="Sl_Akapit z listą Znak,maz_wyliczenie Znak,opis dzialania Znak,K-P_odwolanie Znak,A_wyliczenie Znak,Akapit z listą 1 Znak,Table of contents numbered Znak,Akapit z listą5 Znak,Akapit z listą5CxSpLast Znak,Tekst punktowanie Znak"/>
    <w:link w:val="Akapitzlist"/>
    <w:uiPriority w:val="34"/>
    <w:qFormat/>
    <w:locked/>
    <w:rsid w:val="001E743E"/>
    <w:rPr>
      <w:rFonts w:ascii="Arial" w:eastAsia="Times New Roman" w:hAnsi="Arial" w:cs="Times New Roman"/>
      <w:color w:val="000000"/>
      <w:szCs w:val="24"/>
    </w:rPr>
  </w:style>
  <w:style w:type="table" w:styleId="Tabela-Siatka">
    <w:name w:val="Table Grid"/>
    <w:basedOn w:val="Standardowy"/>
    <w:uiPriority w:val="39"/>
    <w:rsid w:val="001E7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4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B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2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2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2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2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2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C834D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76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76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7679"/>
    <w:rPr>
      <w:vertAlign w:val="superscript"/>
    </w:rPr>
  </w:style>
  <w:style w:type="paragraph" w:styleId="Tekstprzypisudolnego">
    <w:name w:val="footnote text"/>
    <w:aliases w:val="Podrozdział,Tekst przypisu,-E Fuﬂnotentext,Fuﬂnotentext Ursprung,Fußnotentext Ursprung,-E Fußnotentext,Fußnote,Footnote,Podrozdzia3,Footnote text,Tekst przypisu Znak Znak Znak Znak,Znak,FOOTNOTES,o,fn,Znak Znak,Tekst przypisu Znak"/>
    <w:basedOn w:val="Normalny"/>
    <w:link w:val="TekstprzypisudolnegoZnak"/>
    <w:uiPriority w:val="99"/>
    <w:unhideWhenUsed/>
    <w:qFormat/>
    <w:rsid w:val="00957087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aliases w:val="Podrozdział Znak,Tekst przypisu Znak1,-E Fuﬂnotentext Znak,Fuﬂnotentext Ursprung Znak,Fußnotentext Ursprung Znak,-E Fußnotentext Znak,Fußnote Znak,Footnote Znak,Podrozdzia3 Znak,Footnote text Znak,Znak Znak1,FOOTNOTES Znak"/>
    <w:basedOn w:val="Domylnaczcionkaakapitu"/>
    <w:link w:val="Tekstprzypisudolnego"/>
    <w:uiPriority w:val="99"/>
    <w:rsid w:val="00957087"/>
    <w:rPr>
      <w:rFonts w:ascii="Arial" w:eastAsia="Times New Roman" w:hAnsi="Arial" w:cs="Times New Roman"/>
      <w:color w:val="000000"/>
      <w:sz w:val="20"/>
      <w:szCs w:val="20"/>
    </w:rPr>
  </w:style>
  <w:style w:type="character" w:styleId="Odwoanieprzypisudolnego">
    <w:name w:val="footnote reference"/>
    <w:aliases w:val="SUPERS,Footnote Reference Number,Odwołanie przypisu,Footnote symbol,Footnote reference number,note TESI,EN Footnote Reference,Footnote number,Ref,de nota al pie,Odwo3anie przypisu,Times 10 Point,Exposant 3 Point,number,16 Poi"/>
    <w:basedOn w:val="Domylnaczcionkaakapitu"/>
    <w:uiPriority w:val="99"/>
    <w:unhideWhenUsed/>
    <w:qFormat/>
    <w:rsid w:val="009570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2" ma:contentTypeDescription="Utwórz nowy dokument." ma:contentTypeScope="" ma:versionID="d916d2e4fac781d66664efee0af338e4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5535e07d132ca140cd11ad3eb5a17d95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43431-3743-458B-8E39-47378B1C5A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388EC-3F57-4904-8E03-5C4BFACA5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7F9175-6E07-4DC2-BA45-F0CCAFAE7EAB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d47a4560-aee9-43e8-973f-2abd655c26a0"/>
    <ds:schemaRef ds:uri="http://schemas.microsoft.com/office/infopath/2007/PartnerControls"/>
    <ds:schemaRef ds:uri="d4f64a22-a125-4b7a-afce-4a30c86a8f7c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F54664-016E-489C-A39E-12BFD1D5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3774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Infografika Ewaluacja OP I wersja tekstowa</vt:lpstr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Infografika Ewaluacja OP I wersja tekstowa</dc:title>
  <dc:creator>Malgorzata Kachniarz</dc:creator>
  <cp:lastModifiedBy>Urząd Marszałkowski Województwa Śląskiego</cp:lastModifiedBy>
  <cp:revision>2</cp:revision>
  <dcterms:created xsi:type="dcterms:W3CDTF">2022-04-21T07:56:00Z</dcterms:created>
  <dcterms:modified xsi:type="dcterms:W3CDTF">2022-04-21T07:56:00Z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