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BEBD" w14:textId="52C89838" w:rsidR="003810CD" w:rsidRPr="003810CD" w:rsidRDefault="003810CD" w:rsidP="003C22B8">
      <w:pPr>
        <w:sectPr w:rsidR="003810CD" w:rsidRPr="003810CD" w:rsidSect="003810C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0062FA" w14:textId="3F3A61DA" w:rsidR="009C7753" w:rsidRPr="00735E86" w:rsidRDefault="00735E86" w:rsidP="003C22B8">
      <w:r w:rsidRPr="00735E86">
        <w:t>&lt;</w:t>
      </w:r>
      <w:r w:rsidR="009C7753" w:rsidRPr="00735E86">
        <w:t>Strona tytułowa</w:t>
      </w:r>
      <w:r w:rsidRPr="00735E86">
        <w:t xml:space="preserve"> - grafika&gt;</w:t>
      </w:r>
    </w:p>
    <w:p w14:paraId="2CB0C033" w14:textId="15A7411E" w:rsidR="0074527B" w:rsidRPr="00EA6B6F" w:rsidRDefault="009C7753" w:rsidP="003C22B8">
      <w:pPr>
        <w:rPr>
          <w:b/>
          <w:bCs/>
          <w:sz w:val="36"/>
          <w:szCs w:val="28"/>
        </w:rPr>
      </w:pPr>
      <w:bookmarkStart w:id="0" w:name="_Hlk85706152"/>
      <w:r w:rsidRPr="00EA6B6F">
        <w:rPr>
          <w:b/>
          <w:bCs/>
          <w:sz w:val="28"/>
          <w:szCs w:val="28"/>
        </w:rPr>
        <w:t xml:space="preserve">Ewaluacja dotycząca sposobu, w jaki wsparcie w ramach RPO WSL na lata 2014-2020 przyczyniło się do osiągnięcia celów w ramach osi priorytetowej </w:t>
      </w:r>
      <w:r w:rsidR="009319A4">
        <w:rPr>
          <w:b/>
          <w:bCs/>
          <w:sz w:val="28"/>
          <w:szCs w:val="28"/>
        </w:rPr>
        <w:t>I</w:t>
      </w:r>
      <w:r w:rsidRPr="00EA6B6F">
        <w:rPr>
          <w:b/>
          <w:bCs/>
          <w:sz w:val="28"/>
          <w:szCs w:val="28"/>
        </w:rPr>
        <w:t xml:space="preserve"> </w:t>
      </w:r>
      <w:bookmarkEnd w:id="0"/>
      <w:r w:rsidR="009319A4">
        <w:rPr>
          <w:b/>
          <w:bCs/>
          <w:sz w:val="28"/>
          <w:szCs w:val="28"/>
        </w:rPr>
        <w:t>Nowoczesna Gospodarka</w:t>
      </w:r>
      <w:r w:rsidR="0074527B" w:rsidRPr="00EA6B6F">
        <w:rPr>
          <w:b/>
          <w:bCs/>
          <w:sz w:val="36"/>
          <w:szCs w:val="28"/>
        </w:rPr>
        <w:br w:type="page"/>
      </w:r>
    </w:p>
    <w:p w14:paraId="367F2C1B" w14:textId="05E13B68" w:rsidR="00C65049" w:rsidRPr="007A5070" w:rsidRDefault="00C65049" w:rsidP="003C22B8">
      <w:pPr>
        <w:pStyle w:val="Nagwek1"/>
      </w:pPr>
      <w:r w:rsidRPr="007A5070">
        <w:lastRenderedPageBreak/>
        <w:t>Cel</w:t>
      </w:r>
      <w:r w:rsidR="00A93DD8" w:rsidRPr="007A5070">
        <w:t>e badania</w:t>
      </w:r>
      <w:r w:rsidRPr="007A5070">
        <w:t xml:space="preserve"> </w:t>
      </w:r>
    </w:p>
    <w:p w14:paraId="127A46A7" w14:textId="77777777" w:rsidR="009319A4" w:rsidRPr="009319A4" w:rsidRDefault="009319A4" w:rsidP="009319A4">
      <w:pPr>
        <w:pStyle w:val="Akapitzlist"/>
        <w:numPr>
          <w:ilvl w:val="0"/>
          <w:numId w:val="7"/>
        </w:numPr>
        <w:rPr>
          <w:b/>
          <w:bCs/>
        </w:rPr>
      </w:pPr>
      <w:r w:rsidRPr="009319A4">
        <w:rPr>
          <w:b/>
          <w:bCs/>
        </w:rPr>
        <w:t>Ocena dotychczasowych efektów wsparcia w ramach Osi Priorytetowej I.</w:t>
      </w:r>
    </w:p>
    <w:p w14:paraId="1FAF587F" w14:textId="77777777" w:rsidR="009319A4" w:rsidRPr="009319A4" w:rsidRDefault="009319A4" w:rsidP="009319A4">
      <w:pPr>
        <w:pStyle w:val="Akapitzlist"/>
        <w:numPr>
          <w:ilvl w:val="0"/>
          <w:numId w:val="7"/>
        </w:numPr>
        <w:rPr>
          <w:b/>
          <w:bCs/>
        </w:rPr>
      </w:pPr>
      <w:r w:rsidRPr="009319A4">
        <w:rPr>
          <w:b/>
          <w:bCs/>
        </w:rPr>
        <w:t>Ocena przyjętych mechanizmów wdrażania w ramach Osi Priorytetowej I.</w:t>
      </w:r>
    </w:p>
    <w:p w14:paraId="72592C11" w14:textId="626EAD91" w:rsidR="00CA6CA1" w:rsidRPr="009319A4" w:rsidRDefault="00CC2310" w:rsidP="00EA6B6F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jc w:val="left"/>
        <w:rPr>
          <w:b/>
        </w:rPr>
      </w:pPr>
      <w:r w:rsidRPr="009319A4">
        <w:rPr>
          <w:b/>
        </w:rPr>
        <w:t xml:space="preserve">Ocena </w:t>
      </w:r>
      <w:r w:rsidRPr="009319A4">
        <w:rPr>
          <w:b/>
          <w:bCs/>
        </w:rPr>
        <w:t>możliwości osiągnięcia założonych w Programie celów</w:t>
      </w:r>
      <w:r w:rsidRPr="009319A4">
        <w:rPr>
          <w:b/>
        </w:rPr>
        <w:t xml:space="preserve"> przypisanych do </w:t>
      </w:r>
      <w:r w:rsidR="009319A4" w:rsidRPr="009319A4">
        <w:rPr>
          <w:b/>
          <w:bCs/>
        </w:rPr>
        <w:t>Osi Priorytetowej I.</w:t>
      </w:r>
    </w:p>
    <w:p w14:paraId="658BA1EA" w14:textId="6BF39067" w:rsidR="00CC2310" w:rsidRPr="009319A4" w:rsidRDefault="009319A4" w:rsidP="00EA6B6F">
      <w:pPr>
        <w:pStyle w:val="Akapitzlist"/>
        <w:numPr>
          <w:ilvl w:val="0"/>
          <w:numId w:val="7"/>
        </w:numPr>
        <w:spacing w:before="120" w:after="120" w:line="276" w:lineRule="auto"/>
        <w:ind w:left="714" w:hanging="357"/>
        <w:contextualSpacing w:val="0"/>
        <w:jc w:val="left"/>
        <w:rPr>
          <w:b/>
          <w:bCs/>
        </w:rPr>
      </w:pPr>
      <w:r w:rsidRPr="009319A4">
        <w:rPr>
          <w:b/>
          <w:bCs/>
        </w:rPr>
        <w:t xml:space="preserve">Wskazanie rozwiązań w obszarze zwiększania potencjału w zakresie badań </w:t>
      </w:r>
      <w:r w:rsidRPr="009319A4">
        <w:rPr>
          <w:b/>
          <w:bCs/>
        </w:rPr>
        <w:br/>
        <w:t xml:space="preserve">i innowacji, wykorzystywania zaawansowanych technologii oraz rozwijania umiejętności na rzecz inteligentnej specjalizacji, transformacji przemysłowej </w:t>
      </w:r>
      <w:r w:rsidRPr="009319A4">
        <w:rPr>
          <w:b/>
          <w:bCs/>
        </w:rPr>
        <w:br/>
        <w:t>i przedsiębiorczości, możliwych do realizacji w perspektywie 2021-2027.</w:t>
      </w:r>
    </w:p>
    <w:p w14:paraId="79F7A64B" w14:textId="77777777" w:rsidR="009319A4" w:rsidRPr="004D34AE" w:rsidRDefault="009319A4" w:rsidP="009319A4">
      <w:pPr>
        <w:pStyle w:val="Akapitzlist"/>
        <w:spacing w:before="120" w:after="120" w:line="276" w:lineRule="auto"/>
        <w:ind w:left="714"/>
        <w:contextualSpacing w:val="0"/>
        <w:jc w:val="left"/>
        <w:rPr>
          <w:b/>
          <w:bCs/>
        </w:rPr>
      </w:pPr>
    </w:p>
    <w:p w14:paraId="6F97428B" w14:textId="2786482D" w:rsidR="00A93DD8" w:rsidRPr="007A5070" w:rsidRDefault="00A93DD8" w:rsidP="00C70087">
      <w:pPr>
        <w:pStyle w:val="Nagwek1"/>
        <w:spacing w:before="120"/>
      </w:pPr>
      <w:r w:rsidRPr="00CC2310">
        <w:t>Metodologia</w:t>
      </w:r>
      <w:r w:rsidRPr="003810CD">
        <w:t xml:space="preserve"> badawcza</w:t>
      </w:r>
    </w:p>
    <w:p w14:paraId="0C769BAB" w14:textId="037BF84A" w:rsidR="000E7D9C" w:rsidRPr="0073114E" w:rsidRDefault="009319A4" w:rsidP="000E7D9C">
      <w:pPr>
        <w:tabs>
          <w:tab w:val="num" w:pos="720"/>
        </w:tabs>
        <w:spacing w:line="276" w:lineRule="auto"/>
        <w:rPr>
          <w:color w:val="000000" w:themeColor="text1"/>
        </w:rPr>
      </w:pPr>
      <w:r w:rsidRPr="009319A4">
        <w:t>W badaniu zastosowano podejście badawcze oparte na ewaluacji wspieranej teorią. Metodologia badań opierała się głównie o metody jakościowe, w tym analizę gabinetową, wywiady z przedstawicielami instytucji zaangażowanych we wdrażanie Programu oraz tworzenie ekosystemu innowacji w województwie śląskim, a także 26 wywiadów z beneficjentami wsparcia, m.in. przedsiębiorcami i jednostkami naukowymi. Pięć projektów wybrano do opisu w ramach studiów przypadku. Na użytek badania przeprowadzono dziesięć wywiadów z ekspertami w dziedzinach merytorycznie powiązanych z inwestycjami w B+R, a także wywiady z przedstawicielami IZ programów regionalnych, które z powodzeniem zakontraktowały środki w tej perspektywie</w:t>
      </w:r>
      <w:r>
        <w:t>.</w:t>
      </w:r>
      <w:r w:rsidR="000E7D9C">
        <w:t xml:space="preserve"> </w:t>
      </w:r>
      <w:r w:rsidR="000E7D9C" w:rsidRPr="0073114E">
        <w:rPr>
          <w:color w:val="000000" w:themeColor="text1"/>
        </w:rPr>
        <w:t xml:space="preserve">Metody ilościowe polegały na przeprowadzeniu badania ankietowego metodą CAWI z beneficjentami działania 1.2 (typ 2 i 3), w ramach którego uzyskano zwrot w liczbie </w:t>
      </w:r>
      <w:r w:rsidR="000E7D9C" w:rsidRPr="0073114E">
        <w:rPr>
          <w:bCs/>
          <w:color w:val="000000" w:themeColor="text1"/>
        </w:rPr>
        <w:t xml:space="preserve">100 ankiet. Dodatkowo, tą samą metodą  przebadano 98 </w:t>
      </w:r>
      <w:r w:rsidR="000E7D9C" w:rsidRPr="0073114E">
        <w:rPr>
          <w:color w:val="000000" w:themeColor="text1"/>
        </w:rPr>
        <w:t>firm z terenu województwa śląskiego, które korzystały ze środków programu krajowego Program Operacyjny Inteligentny Rozwój.</w:t>
      </w:r>
    </w:p>
    <w:p w14:paraId="37C9BD46" w14:textId="50EA3075" w:rsidR="00D90FDF" w:rsidRDefault="00D90FDF" w:rsidP="00EA6B6F">
      <w:pPr>
        <w:spacing w:line="276" w:lineRule="auto"/>
      </w:pPr>
    </w:p>
    <w:p w14:paraId="0D0810E4" w14:textId="1701B6AD" w:rsidR="00A93DD8" w:rsidRPr="007A5070" w:rsidRDefault="00A93DD8" w:rsidP="00C70087">
      <w:pPr>
        <w:pStyle w:val="Nagwek1"/>
        <w:spacing w:before="120"/>
      </w:pPr>
      <w:r w:rsidRPr="003810CD">
        <w:t>Zakres badania</w:t>
      </w:r>
    </w:p>
    <w:p w14:paraId="5E6969FF" w14:textId="43262AD0" w:rsidR="004E64F4" w:rsidRPr="003810CD" w:rsidRDefault="004E64F4" w:rsidP="00560610">
      <w:r w:rsidRPr="003810CD">
        <w:t xml:space="preserve">Działania wdrażane w ramach osi priorytetowej </w:t>
      </w:r>
      <w:r w:rsidR="00E74DDD">
        <w:t>I</w:t>
      </w:r>
      <w:r w:rsidRPr="003810CD">
        <w:t>:</w:t>
      </w:r>
    </w:p>
    <w:p w14:paraId="31E5B3EC" w14:textId="088A7778" w:rsidR="009319A4" w:rsidRPr="009319A4" w:rsidRDefault="009319A4" w:rsidP="009319A4">
      <w:pPr>
        <w:rPr>
          <w:rFonts w:eastAsia="Times New Roman" w:cs="Times New Roman"/>
          <w:color w:val="000000"/>
          <w:szCs w:val="24"/>
        </w:rPr>
      </w:pPr>
      <w:r w:rsidRPr="009319A4">
        <w:rPr>
          <w:rFonts w:eastAsia="Times New Roman" w:cs="Times New Roman"/>
          <w:color w:val="000000"/>
          <w:szCs w:val="24"/>
        </w:rPr>
        <w:t>1.1. Kluczowa dla regionu infrastruktura badawcza</w:t>
      </w:r>
      <w:r>
        <w:rPr>
          <w:rFonts w:eastAsia="Times New Roman" w:cs="Times New Roman"/>
          <w:color w:val="000000"/>
          <w:szCs w:val="24"/>
        </w:rPr>
        <w:t>.</w:t>
      </w:r>
    </w:p>
    <w:p w14:paraId="54343FB2" w14:textId="3CF4ECDD" w:rsidR="009319A4" w:rsidRPr="009319A4" w:rsidRDefault="009319A4" w:rsidP="009319A4">
      <w:pPr>
        <w:rPr>
          <w:rFonts w:eastAsia="Times New Roman" w:cs="Times New Roman"/>
          <w:color w:val="000000"/>
          <w:szCs w:val="24"/>
        </w:rPr>
      </w:pPr>
      <w:r w:rsidRPr="009319A4">
        <w:rPr>
          <w:rFonts w:eastAsia="Times New Roman" w:cs="Times New Roman"/>
          <w:color w:val="000000"/>
          <w:szCs w:val="24"/>
        </w:rPr>
        <w:t>1.2. Badania, rozwój i innowacje w przedsiębiorstwach</w:t>
      </w:r>
      <w:r>
        <w:rPr>
          <w:rFonts w:eastAsia="Times New Roman" w:cs="Times New Roman"/>
          <w:color w:val="000000"/>
          <w:szCs w:val="24"/>
        </w:rPr>
        <w:t>.</w:t>
      </w:r>
      <w:r w:rsidRPr="009319A4">
        <w:rPr>
          <w:rFonts w:eastAsia="Times New Roman" w:cs="Times New Roman"/>
          <w:color w:val="000000"/>
          <w:szCs w:val="24"/>
        </w:rPr>
        <w:t xml:space="preserve"> </w:t>
      </w:r>
    </w:p>
    <w:p w14:paraId="737C7D22" w14:textId="0FBC45B2" w:rsidR="009319A4" w:rsidRPr="009319A4" w:rsidRDefault="009319A4" w:rsidP="009319A4">
      <w:pPr>
        <w:rPr>
          <w:rFonts w:eastAsia="Times New Roman" w:cs="Times New Roman"/>
          <w:color w:val="000000"/>
          <w:szCs w:val="24"/>
        </w:rPr>
      </w:pPr>
      <w:r w:rsidRPr="009319A4">
        <w:rPr>
          <w:rFonts w:eastAsia="Times New Roman" w:cs="Times New Roman"/>
          <w:color w:val="000000"/>
          <w:szCs w:val="24"/>
        </w:rPr>
        <w:t>1.3. Profesjonalizacja IOB</w:t>
      </w:r>
      <w:r>
        <w:rPr>
          <w:rFonts w:eastAsia="Times New Roman" w:cs="Times New Roman"/>
          <w:color w:val="000000"/>
          <w:szCs w:val="24"/>
        </w:rPr>
        <w:t>.</w:t>
      </w:r>
    </w:p>
    <w:p w14:paraId="09D969A8" w14:textId="51140A7C" w:rsidR="009319A4" w:rsidRPr="009319A4" w:rsidRDefault="009319A4" w:rsidP="009319A4">
      <w:pPr>
        <w:rPr>
          <w:rFonts w:eastAsia="Times New Roman" w:cs="Times New Roman"/>
          <w:color w:val="000000"/>
          <w:szCs w:val="24"/>
        </w:rPr>
      </w:pPr>
      <w:r w:rsidRPr="009319A4">
        <w:rPr>
          <w:rFonts w:eastAsia="Times New Roman" w:cs="Times New Roman"/>
          <w:color w:val="000000"/>
          <w:szCs w:val="24"/>
        </w:rPr>
        <w:t xml:space="preserve">1.4. Wsparcie </w:t>
      </w:r>
      <w:r>
        <w:rPr>
          <w:rFonts w:eastAsia="Times New Roman" w:cs="Times New Roman"/>
          <w:color w:val="000000"/>
          <w:szCs w:val="24"/>
        </w:rPr>
        <w:t>ekosystemu innowacji</w:t>
      </w:r>
      <w:r w:rsidRPr="009319A4">
        <w:rPr>
          <w:rFonts w:eastAsia="Times New Roman" w:cs="Times New Roman"/>
          <w:color w:val="000000"/>
          <w:szCs w:val="24"/>
        </w:rPr>
        <w:t>.</w:t>
      </w:r>
    </w:p>
    <w:p w14:paraId="36B04E4B" w14:textId="404F5AE4" w:rsidR="00D90FDF" w:rsidRDefault="00A93DD8" w:rsidP="003C22B8">
      <w:r w:rsidRPr="003810CD">
        <w:lastRenderedPageBreak/>
        <w:t xml:space="preserve">Analizy obejmowały </w:t>
      </w:r>
      <w:r w:rsidR="00D90FDF" w:rsidRPr="00D90FDF">
        <w:t xml:space="preserve">okres od początku wdrażania RPO WSL 2014-2020 do </w:t>
      </w:r>
      <w:r w:rsidR="00E74DDD">
        <w:t xml:space="preserve">listopada </w:t>
      </w:r>
      <w:r w:rsidR="00D90FDF" w:rsidRPr="00D90FDF">
        <w:t xml:space="preserve">2021 r. oraz prognozę wartości wskaźników na 2023 r. </w:t>
      </w:r>
    </w:p>
    <w:p w14:paraId="04A7E82D" w14:textId="77777777" w:rsidR="008875EB" w:rsidRDefault="008875EB" w:rsidP="009319A4">
      <w:pPr>
        <w:pStyle w:val="Nagwek1"/>
      </w:pPr>
    </w:p>
    <w:p w14:paraId="3882C07E" w14:textId="77777777" w:rsidR="008875EB" w:rsidRDefault="008875EB" w:rsidP="009319A4">
      <w:pPr>
        <w:pStyle w:val="Nagwek1"/>
      </w:pPr>
    </w:p>
    <w:p w14:paraId="0B1F79D1" w14:textId="77777777" w:rsidR="008875EB" w:rsidRDefault="008875EB" w:rsidP="008875EB"/>
    <w:p w14:paraId="51910ACF" w14:textId="77777777" w:rsidR="008875EB" w:rsidRPr="008875EB" w:rsidRDefault="008875EB" w:rsidP="008875EB"/>
    <w:p w14:paraId="71C55946" w14:textId="211FAF33" w:rsidR="009319A4" w:rsidRPr="009319A4" w:rsidRDefault="004A2778" w:rsidP="009319A4">
      <w:pPr>
        <w:pStyle w:val="Nagwek1"/>
      </w:pPr>
      <w:r w:rsidRPr="003810CD">
        <w:t xml:space="preserve">Działanie </w:t>
      </w:r>
      <w:r w:rsidR="009319A4" w:rsidRPr="009319A4">
        <w:t>1.1. Kluczowa dla regionu infrastruktura badawcza</w:t>
      </w:r>
      <w:r w:rsidR="009319A4">
        <w:t>:</w:t>
      </w:r>
    </w:p>
    <w:p w14:paraId="71A3C408" w14:textId="080BFEF6" w:rsidR="009319A4" w:rsidRDefault="00375C2A" w:rsidP="00C70087">
      <w:pPr>
        <w:rPr>
          <w:b/>
          <w:bCs/>
        </w:rPr>
      </w:pPr>
      <w:r w:rsidRPr="003810CD">
        <w:rPr>
          <w:b/>
          <w:bCs/>
        </w:rPr>
        <w:t>Cel</w:t>
      </w:r>
      <w:r w:rsidR="00D400DF">
        <w:rPr>
          <w:b/>
          <w:bCs/>
        </w:rPr>
        <w:t>e</w:t>
      </w:r>
      <w:r w:rsidRPr="003810CD">
        <w:rPr>
          <w:b/>
          <w:bCs/>
        </w:rPr>
        <w:t xml:space="preserve"> szczegółow</w:t>
      </w:r>
      <w:r w:rsidR="00D400DF">
        <w:rPr>
          <w:b/>
          <w:bCs/>
        </w:rPr>
        <w:t>e</w:t>
      </w:r>
      <w:r w:rsidRPr="003810CD">
        <w:rPr>
          <w:b/>
          <w:bCs/>
        </w:rPr>
        <w:t xml:space="preserve">: </w:t>
      </w:r>
    </w:p>
    <w:p w14:paraId="721CB91A" w14:textId="59EF84C0" w:rsidR="009319A4" w:rsidRPr="009319A4" w:rsidRDefault="00CC6761" w:rsidP="009319A4">
      <w:pPr>
        <w:pStyle w:val="Akapitzlist"/>
        <w:numPr>
          <w:ilvl w:val="0"/>
          <w:numId w:val="12"/>
        </w:numPr>
        <w:jc w:val="left"/>
        <w:rPr>
          <w:b/>
          <w:bCs/>
        </w:rPr>
      </w:pPr>
      <w:r w:rsidRPr="008875EB">
        <w:rPr>
          <w:color w:val="FF0000"/>
        </w:rPr>
        <w:t>Z</w:t>
      </w:r>
      <w:r w:rsidR="009319A4" w:rsidRPr="009319A4">
        <w:t>większone urynkowienie działalności badawczo-rozwojowej;</w:t>
      </w:r>
    </w:p>
    <w:p w14:paraId="2BAD85DE" w14:textId="1783B552" w:rsidR="009319A4" w:rsidRPr="009319A4" w:rsidRDefault="00CC6761" w:rsidP="009319A4">
      <w:pPr>
        <w:pStyle w:val="Akapitzlist"/>
        <w:numPr>
          <w:ilvl w:val="0"/>
          <w:numId w:val="12"/>
        </w:numPr>
        <w:jc w:val="left"/>
        <w:rPr>
          <w:b/>
          <w:bCs/>
        </w:rPr>
      </w:pPr>
      <w:r w:rsidRPr="008875EB">
        <w:rPr>
          <w:color w:val="FF0000"/>
        </w:rPr>
        <w:t>Z</w:t>
      </w:r>
      <w:r w:rsidR="009319A4" w:rsidRPr="009319A4">
        <w:t>większona aktywność badawczo-rozwojowa przedsiębiorstw</w:t>
      </w:r>
      <w:r w:rsidR="009319A4">
        <w:t>.</w:t>
      </w:r>
      <w:r w:rsidR="009319A4" w:rsidRPr="009319A4">
        <w:br/>
      </w:r>
    </w:p>
    <w:p w14:paraId="57678DA4" w14:textId="3AF55AA8" w:rsidR="005E7896" w:rsidRPr="009943A4" w:rsidRDefault="005E7896" w:rsidP="00C70087">
      <w:pPr>
        <w:rPr>
          <w:b/>
          <w:bCs/>
        </w:rPr>
      </w:pPr>
      <w:r w:rsidRPr="009943A4">
        <w:rPr>
          <w:b/>
          <w:bCs/>
        </w:rPr>
        <w:t>Kluczowe produkty:</w:t>
      </w:r>
    </w:p>
    <w:p w14:paraId="76BC0B9F" w14:textId="372829E8" w:rsidR="005E7896" w:rsidRDefault="00656A4A" w:rsidP="00C70087">
      <w:pPr>
        <w:pStyle w:val="Akapitzlist"/>
        <w:numPr>
          <w:ilvl w:val="0"/>
          <w:numId w:val="3"/>
        </w:numPr>
        <w:jc w:val="left"/>
      </w:pPr>
      <w:r>
        <w:t>39 wspartych laboratoriów badawczych w 12 śląskich uczelniach wyższych i jednostkach badawczych</w:t>
      </w:r>
      <w:r w:rsidR="00B228C8">
        <w:t>.</w:t>
      </w:r>
    </w:p>
    <w:p w14:paraId="6664264D" w14:textId="14A57BB8" w:rsidR="00656A4A" w:rsidRDefault="00656A4A" w:rsidP="00656A4A">
      <w:pPr>
        <w:pStyle w:val="Akapitzlist"/>
        <w:numPr>
          <w:ilvl w:val="0"/>
          <w:numId w:val="3"/>
        </w:numPr>
        <w:jc w:val="left"/>
      </w:pPr>
      <w:r>
        <w:t xml:space="preserve">239 naukowców </w:t>
      </w:r>
      <w:r w:rsidRPr="00656A4A">
        <w:t>pracujących w ulepszonych obiektach infrastruktury badawcze</w:t>
      </w:r>
      <w:r>
        <w:t>j</w:t>
      </w:r>
      <w:r w:rsidR="00B228C8">
        <w:t>.</w:t>
      </w:r>
    </w:p>
    <w:p w14:paraId="2398D75A" w14:textId="3DEA6481" w:rsidR="00656A4A" w:rsidRDefault="00656A4A" w:rsidP="00656A4A">
      <w:pPr>
        <w:pStyle w:val="Akapitzlist"/>
        <w:numPr>
          <w:ilvl w:val="0"/>
          <w:numId w:val="3"/>
        </w:numPr>
        <w:jc w:val="left"/>
      </w:pPr>
      <w:r w:rsidRPr="00656A4A">
        <w:t>18</w:t>
      </w:r>
      <w:r>
        <w:t>7 mln zł zainwestowane w nowoczesna aparaturę naukowo-badawczą.</w:t>
      </w:r>
    </w:p>
    <w:p w14:paraId="4A283118" w14:textId="77777777" w:rsidR="00656A4A" w:rsidRDefault="00656A4A" w:rsidP="00656A4A">
      <w:pPr>
        <w:ind w:left="360"/>
        <w:rPr>
          <w:b/>
          <w:bCs/>
        </w:rPr>
      </w:pPr>
    </w:p>
    <w:p w14:paraId="579991AF" w14:textId="0F957565" w:rsidR="008D5CA9" w:rsidRPr="00656A4A" w:rsidRDefault="00AD24C4" w:rsidP="005077E5">
      <w:pPr>
        <w:rPr>
          <w:b/>
          <w:bCs/>
        </w:rPr>
      </w:pPr>
      <w:r w:rsidRPr="00656A4A">
        <w:rPr>
          <w:b/>
          <w:bCs/>
        </w:rPr>
        <w:t xml:space="preserve">Kluczowe </w:t>
      </w:r>
      <w:r w:rsidR="00ED367F" w:rsidRPr="00656A4A">
        <w:rPr>
          <w:b/>
          <w:bCs/>
        </w:rPr>
        <w:t>rezultaty</w:t>
      </w:r>
      <w:r w:rsidR="008D5CA9" w:rsidRPr="00656A4A">
        <w:rPr>
          <w:b/>
          <w:bCs/>
        </w:rPr>
        <w:t>:</w:t>
      </w:r>
    </w:p>
    <w:p w14:paraId="2FF6D5CD" w14:textId="19F21B6E" w:rsidR="007F54D8" w:rsidRPr="008875EB" w:rsidRDefault="007F54D8" w:rsidP="007F54D8">
      <w:pPr>
        <w:pStyle w:val="Akapitzlist"/>
        <w:numPr>
          <w:ilvl w:val="0"/>
          <w:numId w:val="3"/>
        </w:numPr>
        <w:rPr>
          <w:color w:val="auto"/>
          <w:szCs w:val="22"/>
        </w:rPr>
      </w:pPr>
      <w:r w:rsidRPr="008875EB">
        <w:rPr>
          <w:color w:val="auto"/>
          <w:szCs w:val="22"/>
        </w:rPr>
        <w:t xml:space="preserve">191 </w:t>
      </w:r>
      <w:r w:rsidRPr="008875EB">
        <w:rPr>
          <w:rFonts w:eastAsia="Montserrat" w:cs="Arial"/>
          <w:color w:val="auto"/>
          <w:szCs w:val="22"/>
          <w:lang w:eastAsia="en-US"/>
        </w:rPr>
        <w:t>projektów B+R realizowanych przy wykorzystaniu wspartej infrastruktury badawczej</w:t>
      </w:r>
      <w:r w:rsidR="00B228C8" w:rsidRPr="008875EB">
        <w:rPr>
          <w:rFonts w:eastAsia="Montserrat" w:cs="Arial"/>
          <w:color w:val="auto"/>
          <w:szCs w:val="22"/>
          <w:lang w:eastAsia="en-US"/>
        </w:rPr>
        <w:t>.</w:t>
      </w:r>
    </w:p>
    <w:p w14:paraId="77B0D759" w14:textId="3A2A2C31" w:rsidR="00357F29" w:rsidRPr="008875EB" w:rsidRDefault="007F54D8" w:rsidP="003C22B8">
      <w:pPr>
        <w:pStyle w:val="Akapitzlist"/>
        <w:numPr>
          <w:ilvl w:val="0"/>
          <w:numId w:val="3"/>
        </w:numPr>
        <w:rPr>
          <w:color w:val="auto"/>
        </w:rPr>
      </w:pPr>
      <w:r w:rsidRPr="008875EB">
        <w:rPr>
          <w:color w:val="auto"/>
        </w:rPr>
        <w:t>161 przedsiębiorstw korzystających ze wspartej infrastruktury badawczej w ramach wspó</w:t>
      </w:r>
      <w:r w:rsidR="002E6B0E" w:rsidRPr="008875EB">
        <w:rPr>
          <w:color w:val="auto"/>
        </w:rPr>
        <w:t>łpracy z jednostkami badawczymi.</w:t>
      </w:r>
    </w:p>
    <w:p w14:paraId="60BACE0D" w14:textId="77777777" w:rsidR="005077E5" w:rsidRDefault="005077E5" w:rsidP="003C22B8">
      <w:pPr>
        <w:rPr>
          <w:b/>
          <w:bCs/>
        </w:rPr>
      </w:pPr>
    </w:p>
    <w:p w14:paraId="1A8EB398" w14:textId="460D2016" w:rsidR="002C3881" w:rsidRDefault="002C3881" w:rsidP="003C22B8">
      <w:pPr>
        <w:rPr>
          <w:b/>
          <w:bCs/>
        </w:rPr>
      </w:pPr>
      <w:r w:rsidRPr="009943A4">
        <w:rPr>
          <w:b/>
          <w:bCs/>
        </w:rPr>
        <w:t xml:space="preserve">Efekty dodatkowe: </w:t>
      </w:r>
    </w:p>
    <w:p w14:paraId="1EA1D414" w14:textId="33B0F21B" w:rsidR="005077E5" w:rsidRPr="009943A4" w:rsidRDefault="005077E5" w:rsidP="003C22B8">
      <w:pPr>
        <w:rPr>
          <w:b/>
          <w:bCs/>
        </w:rPr>
      </w:pPr>
      <w:r>
        <w:rPr>
          <w:b/>
          <w:bCs/>
        </w:rPr>
        <w:t>Efekty niegospodarcze:</w:t>
      </w:r>
    </w:p>
    <w:p w14:paraId="7FD51695" w14:textId="5BF2679A" w:rsidR="00F674EC" w:rsidRPr="00F674EC" w:rsidRDefault="003023BD" w:rsidP="003C22B8">
      <w:pPr>
        <w:pStyle w:val="Akapitzlist"/>
        <w:numPr>
          <w:ilvl w:val="0"/>
          <w:numId w:val="3"/>
        </w:numPr>
      </w:pPr>
      <w:r>
        <w:t>Rozwój karier pracowników naukowych oraz rozwój naukowy studentów.</w:t>
      </w:r>
    </w:p>
    <w:p w14:paraId="2BCA6944" w14:textId="06A36406" w:rsidR="00C167D4" w:rsidRDefault="003023BD" w:rsidP="003C22B8">
      <w:pPr>
        <w:pStyle w:val="Akapitzlist"/>
        <w:numPr>
          <w:ilvl w:val="0"/>
          <w:numId w:val="3"/>
        </w:numPr>
      </w:pPr>
      <w:r>
        <w:t>Wzrost potencjału jednostek naukowych do realizacji projektów badawczych finansowanych ze środków publicznych, w tym projektów międzynarodowych</w:t>
      </w:r>
      <w:r w:rsidR="002E6B0E">
        <w:t>.</w:t>
      </w:r>
    </w:p>
    <w:p w14:paraId="2644BFC4" w14:textId="2C4D1EAF" w:rsidR="005077E5" w:rsidRPr="005077E5" w:rsidRDefault="005077E5" w:rsidP="005077E5">
      <w:pPr>
        <w:rPr>
          <w:b/>
        </w:rPr>
      </w:pPr>
      <w:r w:rsidRPr="005077E5">
        <w:rPr>
          <w:b/>
        </w:rPr>
        <w:lastRenderedPageBreak/>
        <w:t>Efekty gospodarcze:</w:t>
      </w:r>
    </w:p>
    <w:p w14:paraId="3495A1AF" w14:textId="77777777" w:rsidR="003023BD" w:rsidRDefault="003023BD" w:rsidP="003C22B8">
      <w:pPr>
        <w:pStyle w:val="Akapitzlist"/>
        <w:numPr>
          <w:ilvl w:val="0"/>
          <w:numId w:val="3"/>
        </w:numPr>
      </w:pPr>
      <w:r>
        <w:t>Intensyfikacja współpracy jednostek naukowych z sektorem przedsiębiorstw.</w:t>
      </w:r>
    </w:p>
    <w:p w14:paraId="3B22855B" w14:textId="79F7D32D" w:rsidR="00104B27" w:rsidRPr="00F674EC" w:rsidRDefault="003023BD" w:rsidP="003C22B8">
      <w:pPr>
        <w:pStyle w:val="Akapitzlist"/>
        <w:numPr>
          <w:ilvl w:val="0"/>
          <w:numId w:val="3"/>
        </w:numPr>
      </w:pPr>
      <w:r>
        <w:t>Większe możliwości realizacj</w:t>
      </w:r>
      <w:r w:rsidR="002E6B0E">
        <w:t>i cennych poznawczo badań w dzie</w:t>
      </w:r>
      <w:r>
        <w:t>dzinach</w:t>
      </w:r>
      <w:r w:rsidR="00D45767">
        <w:t xml:space="preserve"> </w:t>
      </w:r>
      <w:r>
        <w:t>m.in. medycyny, transportu i elektroniki.</w:t>
      </w:r>
      <w:r w:rsidR="00104B27" w:rsidRPr="00F674EC">
        <w:br w:type="page"/>
      </w:r>
    </w:p>
    <w:p w14:paraId="7E22F99A" w14:textId="46189496" w:rsidR="009319A4" w:rsidRDefault="009319A4" w:rsidP="00F456C0">
      <w:pPr>
        <w:spacing w:line="360" w:lineRule="auto"/>
        <w:rPr>
          <w:b/>
          <w:bCs/>
          <w:sz w:val="28"/>
          <w:szCs w:val="32"/>
        </w:rPr>
      </w:pPr>
      <w:r w:rsidRPr="009319A4">
        <w:rPr>
          <w:b/>
          <w:bCs/>
          <w:sz w:val="28"/>
          <w:szCs w:val="32"/>
        </w:rPr>
        <w:lastRenderedPageBreak/>
        <w:t xml:space="preserve">Działanie 1.2. Badania, rozwój i innowacje w przedsiębiorstwach </w:t>
      </w:r>
    </w:p>
    <w:p w14:paraId="491AD938" w14:textId="163EE35F" w:rsidR="00D400DF" w:rsidRDefault="00D400DF" w:rsidP="00D400DF">
      <w:pPr>
        <w:rPr>
          <w:b/>
          <w:bCs/>
        </w:rPr>
      </w:pPr>
      <w:r w:rsidRPr="003810CD">
        <w:rPr>
          <w:b/>
          <w:bCs/>
        </w:rPr>
        <w:t>Cel</w:t>
      </w:r>
      <w:r>
        <w:rPr>
          <w:b/>
          <w:bCs/>
        </w:rPr>
        <w:t>e</w:t>
      </w:r>
      <w:r w:rsidRPr="003810CD">
        <w:rPr>
          <w:b/>
          <w:bCs/>
        </w:rPr>
        <w:t xml:space="preserve"> szczegółow</w:t>
      </w:r>
      <w:r>
        <w:rPr>
          <w:b/>
          <w:bCs/>
        </w:rPr>
        <w:t>e</w:t>
      </w:r>
      <w:r w:rsidRPr="003810CD">
        <w:rPr>
          <w:b/>
          <w:bCs/>
        </w:rPr>
        <w:t xml:space="preserve">: </w:t>
      </w:r>
    </w:p>
    <w:p w14:paraId="26981778" w14:textId="4584B0F5" w:rsidR="00D400DF" w:rsidRPr="00D400DF" w:rsidRDefault="00D400DF" w:rsidP="00D400DF">
      <w:pPr>
        <w:pStyle w:val="Akapitzlist"/>
        <w:numPr>
          <w:ilvl w:val="0"/>
          <w:numId w:val="12"/>
        </w:numPr>
        <w:jc w:val="left"/>
        <w:rPr>
          <w:b/>
          <w:bCs/>
        </w:rPr>
      </w:pPr>
      <w:r>
        <w:t>Zwiększona aktywność badawczo-rozwojowa przedsiębiorstw</w:t>
      </w:r>
      <w:r w:rsidR="008875EB" w:rsidRPr="008875EB">
        <w:rPr>
          <w:color w:val="FF0000"/>
        </w:rPr>
        <w:t>.</w:t>
      </w:r>
    </w:p>
    <w:p w14:paraId="3762CE18" w14:textId="58A53E42" w:rsidR="00D400DF" w:rsidRPr="00D400DF" w:rsidRDefault="00D400DF" w:rsidP="00D400DF">
      <w:pPr>
        <w:pStyle w:val="Akapitzlist"/>
        <w:numPr>
          <w:ilvl w:val="0"/>
          <w:numId w:val="12"/>
        </w:numPr>
        <w:jc w:val="left"/>
        <w:rPr>
          <w:b/>
          <w:bCs/>
        </w:rPr>
      </w:pPr>
      <w:r>
        <w:t>Ulepszone otoczenie proinnowacyjne przedsiębiorstw</w:t>
      </w:r>
      <w:r w:rsidR="001D5C86">
        <w:t>.</w:t>
      </w:r>
      <w:r w:rsidRPr="009319A4">
        <w:br/>
      </w:r>
    </w:p>
    <w:p w14:paraId="64893885" w14:textId="77777777" w:rsidR="00D400DF" w:rsidRPr="009943A4" w:rsidRDefault="00D400DF" w:rsidP="00D400DF">
      <w:pPr>
        <w:rPr>
          <w:b/>
          <w:bCs/>
        </w:rPr>
      </w:pPr>
      <w:r w:rsidRPr="009943A4">
        <w:rPr>
          <w:b/>
          <w:bCs/>
        </w:rPr>
        <w:t>Kluczowe produkty:</w:t>
      </w:r>
    </w:p>
    <w:p w14:paraId="7F4A434B" w14:textId="64412C40" w:rsidR="00D400DF" w:rsidRDefault="007A3246" w:rsidP="00D400DF">
      <w:pPr>
        <w:pStyle w:val="Akapitzlist"/>
        <w:numPr>
          <w:ilvl w:val="0"/>
          <w:numId w:val="3"/>
        </w:numPr>
        <w:jc w:val="left"/>
      </w:pPr>
      <w:r>
        <w:t>277 wspartych projektów badawczo-rozwojowych dla  przedsiębiorstw.</w:t>
      </w:r>
    </w:p>
    <w:p w14:paraId="112972D7" w14:textId="6319A593" w:rsidR="007A3246" w:rsidRDefault="007A3246" w:rsidP="00D400DF">
      <w:pPr>
        <w:pStyle w:val="Akapitzlist"/>
        <w:numPr>
          <w:ilvl w:val="0"/>
          <w:numId w:val="3"/>
        </w:numPr>
        <w:jc w:val="left"/>
      </w:pPr>
      <w:r>
        <w:t>220 wspartych prac B+R prowadzonych przez przedsiębiorstwa.</w:t>
      </w:r>
    </w:p>
    <w:p w14:paraId="5F04938C" w14:textId="45076BCB" w:rsidR="00D400DF" w:rsidRDefault="007A3246" w:rsidP="00D400DF">
      <w:pPr>
        <w:pStyle w:val="Akapitzlist"/>
        <w:numPr>
          <w:ilvl w:val="0"/>
          <w:numId w:val="3"/>
        </w:numPr>
        <w:jc w:val="left"/>
      </w:pPr>
      <w:r>
        <w:t>19 laboratoriów badawczych w śląskich firmach.</w:t>
      </w:r>
    </w:p>
    <w:p w14:paraId="26AC8F6F" w14:textId="00A379DF" w:rsidR="007A3246" w:rsidRPr="005E7896" w:rsidRDefault="007A3246" w:rsidP="00D400DF">
      <w:pPr>
        <w:pStyle w:val="Akapitzlist"/>
        <w:numPr>
          <w:ilvl w:val="0"/>
          <w:numId w:val="3"/>
        </w:numPr>
        <w:jc w:val="left"/>
      </w:pPr>
      <w:r>
        <w:t>126 przedsiębiorców pod</w:t>
      </w:r>
      <w:r w:rsidR="00E84A96">
        <w:t xml:space="preserve">jęło </w:t>
      </w:r>
      <w:r>
        <w:t>współpracę z jednostkami naukowymi na Śląsku.</w:t>
      </w:r>
    </w:p>
    <w:p w14:paraId="4D9D5313" w14:textId="757084C0" w:rsidR="00D400DF" w:rsidRPr="00C167D4" w:rsidRDefault="007A3246" w:rsidP="00D400DF">
      <w:pPr>
        <w:pStyle w:val="Akapitzlist"/>
        <w:numPr>
          <w:ilvl w:val="0"/>
          <w:numId w:val="3"/>
        </w:numPr>
        <w:jc w:val="left"/>
      </w:pPr>
      <w:r>
        <w:t>Zakupiono 64 usługi proinnowacyjne.</w:t>
      </w:r>
    </w:p>
    <w:p w14:paraId="6C471E53" w14:textId="77777777" w:rsidR="000E7D9C" w:rsidRDefault="00D400DF" w:rsidP="00D400DF">
      <w:pPr>
        <w:rPr>
          <w:b/>
          <w:bCs/>
        </w:rPr>
      </w:pPr>
      <w:r w:rsidRPr="009943A4">
        <w:rPr>
          <w:b/>
          <w:bCs/>
        </w:rPr>
        <w:t>Kluczowe rezultaty:</w:t>
      </w:r>
    </w:p>
    <w:p w14:paraId="215C2E27" w14:textId="0E30DD7E" w:rsidR="000E7D9C" w:rsidRPr="0073114E" w:rsidRDefault="000E7D9C" w:rsidP="000E7D9C">
      <w:pPr>
        <w:pStyle w:val="Akapitzlist"/>
        <w:numPr>
          <w:ilvl w:val="0"/>
          <w:numId w:val="19"/>
        </w:numPr>
        <w:rPr>
          <w:bCs/>
          <w:color w:val="000000" w:themeColor="text1"/>
        </w:rPr>
      </w:pPr>
      <w:r w:rsidRPr="0073114E">
        <w:rPr>
          <w:bCs/>
          <w:color w:val="000000" w:themeColor="text1"/>
        </w:rPr>
        <w:t>225 skomercjalizowanych wyników prac B+R w przedsiębiorstwach</w:t>
      </w:r>
      <w:r w:rsidR="004D3DC0" w:rsidRPr="0073114E">
        <w:rPr>
          <w:bCs/>
          <w:color w:val="000000" w:themeColor="text1"/>
        </w:rPr>
        <w:t>.</w:t>
      </w:r>
    </w:p>
    <w:p w14:paraId="462AA277" w14:textId="03ADE7C5" w:rsidR="000E7D9C" w:rsidRPr="0073114E" w:rsidRDefault="000E7D9C" w:rsidP="000E7D9C">
      <w:pPr>
        <w:pStyle w:val="Akapitzlist"/>
        <w:numPr>
          <w:ilvl w:val="0"/>
          <w:numId w:val="19"/>
        </w:numPr>
        <w:rPr>
          <w:bCs/>
          <w:color w:val="000000" w:themeColor="text1"/>
        </w:rPr>
      </w:pPr>
      <w:r w:rsidRPr="0073114E">
        <w:rPr>
          <w:bCs/>
          <w:color w:val="000000" w:themeColor="text1"/>
        </w:rPr>
        <w:t>21 wprowadzonych innowacji produktowych</w:t>
      </w:r>
      <w:r w:rsidR="004D3DC0" w:rsidRPr="0073114E">
        <w:rPr>
          <w:bCs/>
          <w:color w:val="000000" w:themeColor="text1"/>
        </w:rPr>
        <w:t>.</w:t>
      </w:r>
    </w:p>
    <w:p w14:paraId="34EB1379" w14:textId="41A11E7F" w:rsidR="000E7D9C" w:rsidRPr="0073114E" w:rsidRDefault="000E7D9C" w:rsidP="000E7D9C">
      <w:pPr>
        <w:pStyle w:val="Akapitzlist"/>
        <w:numPr>
          <w:ilvl w:val="0"/>
          <w:numId w:val="19"/>
        </w:numPr>
        <w:rPr>
          <w:bCs/>
          <w:color w:val="000000" w:themeColor="text1"/>
        </w:rPr>
      </w:pPr>
      <w:r w:rsidRPr="0073114E">
        <w:rPr>
          <w:bCs/>
          <w:color w:val="000000" w:themeColor="text1"/>
        </w:rPr>
        <w:t>16 wprowadzonych innowacji nie technologicznych</w:t>
      </w:r>
      <w:r w:rsidR="004D3DC0" w:rsidRPr="0073114E">
        <w:rPr>
          <w:bCs/>
          <w:color w:val="000000" w:themeColor="text1"/>
        </w:rPr>
        <w:t>.</w:t>
      </w:r>
    </w:p>
    <w:p w14:paraId="68634D55" w14:textId="77777777" w:rsidR="000E7D9C" w:rsidRDefault="000E7D9C" w:rsidP="00D400DF">
      <w:pPr>
        <w:rPr>
          <w:b/>
          <w:bCs/>
        </w:rPr>
      </w:pPr>
    </w:p>
    <w:p w14:paraId="07C248CC" w14:textId="7F63590C" w:rsidR="00D400DF" w:rsidRPr="009943A4" w:rsidRDefault="00D400DF" w:rsidP="00D400DF">
      <w:pPr>
        <w:rPr>
          <w:b/>
          <w:bCs/>
        </w:rPr>
      </w:pPr>
      <w:r w:rsidRPr="009943A4">
        <w:rPr>
          <w:b/>
          <w:bCs/>
        </w:rPr>
        <w:t xml:space="preserve">Efekty dodatkowe: </w:t>
      </w:r>
    </w:p>
    <w:p w14:paraId="67698DC1" w14:textId="080AFAFF" w:rsidR="005077E5" w:rsidRPr="005077E5" w:rsidRDefault="005077E5" w:rsidP="005077E5">
      <w:pPr>
        <w:pStyle w:val="Akapitzlist"/>
        <w:rPr>
          <w:b/>
        </w:rPr>
      </w:pPr>
      <w:r w:rsidRPr="005077E5">
        <w:rPr>
          <w:b/>
        </w:rPr>
        <w:t>Współpraca z nauką</w:t>
      </w:r>
      <w:r>
        <w:rPr>
          <w:b/>
        </w:rPr>
        <w:t>:</w:t>
      </w:r>
    </w:p>
    <w:p w14:paraId="284E5A63" w14:textId="01F7BB8C" w:rsidR="005077E5" w:rsidRDefault="005077E5" w:rsidP="005077E5">
      <w:pPr>
        <w:pStyle w:val="Akapitzlist"/>
        <w:numPr>
          <w:ilvl w:val="0"/>
          <w:numId w:val="3"/>
        </w:numPr>
      </w:pPr>
      <w:r>
        <w:t>68% firm</w:t>
      </w:r>
      <w:r>
        <w:rPr>
          <w:rStyle w:val="Odwoanieprzypisudolnego"/>
        </w:rPr>
        <w:footnoteReference w:id="2"/>
      </w:r>
      <w:r>
        <w:t xml:space="preserve"> zintensyfikowało swoją dotychczasową współpracę z nauką.</w:t>
      </w:r>
    </w:p>
    <w:p w14:paraId="2F0F085A" w14:textId="5D1BD53D" w:rsidR="005077E5" w:rsidRDefault="005077E5" w:rsidP="005077E5">
      <w:pPr>
        <w:pStyle w:val="Akapitzlist"/>
        <w:numPr>
          <w:ilvl w:val="0"/>
          <w:numId w:val="3"/>
        </w:numPr>
      </w:pPr>
      <w:r>
        <w:t>50% firm nawiązało współpracę z jednostką badawczą, z którą nie współpracowali wcześniej</w:t>
      </w:r>
      <w:r w:rsidR="004D3DC0">
        <w:t>.</w:t>
      </w:r>
    </w:p>
    <w:p w14:paraId="436F614C" w14:textId="600D1445" w:rsidR="00D400DF" w:rsidRPr="00F674EC" w:rsidRDefault="005077E5" w:rsidP="00D400DF">
      <w:pPr>
        <w:pStyle w:val="Akapitzlist"/>
        <w:numPr>
          <w:ilvl w:val="0"/>
          <w:numId w:val="3"/>
        </w:numPr>
      </w:pPr>
      <w:r>
        <w:t>37% podjęło po raz pierwszy współpracę z jednostką badawczą.</w:t>
      </w:r>
    </w:p>
    <w:p w14:paraId="284BC721" w14:textId="033B2886" w:rsidR="005077E5" w:rsidRPr="005077E5" w:rsidRDefault="005077E5" w:rsidP="005077E5">
      <w:pPr>
        <w:ind w:left="708"/>
        <w:rPr>
          <w:b/>
        </w:rPr>
      </w:pPr>
      <w:r w:rsidRPr="005077E5">
        <w:rPr>
          <w:b/>
        </w:rPr>
        <w:t>Wzrost potencjału do prowadzenia prac B+R:</w:t>
      </w:r>
    </w:p>
    <w:p w14:paraId="0F8E4EBC" w14:textId="0FD05C9B" w:rsidR="005077E5" w:rsidRDefault="005077E5" w:rsidP="005077E5">
      <w:pPr>
        <w:pStyle w:val="Akapitzlist"/>
        <w:numPr>
          <w:ilvl w:val="0"/>
          <w:numId w:val="15"/>
        </w:numPr>
        <w:ind w:left="709" w:hanging="283"/>
      </w:pPr>
      <w:r>
        <w:t>93% firm zauważyło wzrost kompetencji do prowadzenia prac B+R</w:t>
      </w:r>
      <w:r w:rsidR="004D3DC0">
        <w:t>.</w:t>
      </w:r>
    </w:p>
    <w:p w14:paraId="6EC0395D" w14:textId="477D58CF" w:rsidR="005077E5" w:rsidRDefault="005077E5" w:rsidP="005077E5">
      <w:pPr>
        <w:pStyle w:val="Akapitzlist"/>
        <w:numPr>
          <w:ilvl w:val="0"/>
          <w:numId w:val="15"/>
        </w:numPr>
        <w:ind w:left="709" w:hanging="283"/>
      </w:pPr>
      <w:r>
        <w:t>90% firm odnotowało wzrost poziomu innowacyjności i zaawansowania technologicznego projektów B+R realizowanych w firmie</w:t>
      </w:r>
      <w:r w:rsidR="004D3DC0">
        <w:t>.</w:t>
      </w:r>
    </w:p>
    <w:p w14:paraId="6519821F" w14:textId="2EC4E760" w:rsidR="005077E5" w:rsidRPr="00F7677B" w:rsidRDefault="005077E5" w:rsidP="005077E5">
      <w:pPr>
        <w:pStyle w:val="Akapitzlist"/>
        <w:numPr>
          <w:ilvl w:val="0"/>
          <w:numId w:val="15"/>
        </w:numPr>
        <w:ind w:left="709" w:hanging="283"/>
      </w:pPr>
      <w:r>
        <w:lastRenderedPageBreak/>
        <w:t>76% firm odnotowało wzrost potencjału w zakresie prowadzenia samodzielnych prac B+R</w:t>
      </w:r>
      <w:r w:rsidR="004D3DC0">
        <w:t>.</w:t>
      </w:r>
    </w:p>
    <w:p w14:paraId="6B306EA4" w14:textId="52ED101C" w:rsidR="005077E5" w:rsidRPr="00F7677B" w:rsidRDefault="005077E5" w:rsidP="005077E5">
      <w:pPr>
        <w:pStyle w:val="Akapitzlist"/>
        <w:numPr>
          <w:ilvl w:val="0"/>
          <w:numId w:val="15"/>
        </w:numPr>
        <w:ind w:left="709" w:hanging="283"/>
      </w:pPr>
      <w:r w:rsidRPr="00F7677B">
        <w:t xml:space="preserve">73% firm zwiększyło nakłady </w:t>
      </w:r>
      <w:r w:rsidR="00F7677B" w:rsidRPr="00F7677B">
        <w:t>na działalność B+R</w:t>
      </w:r>
      <w:r w:rsidR="004D3DC0">
        <w:t>.</w:t>
      </w:r>
    </w:p>
    <w:p w14:paraId="3F40F122" w14:textId="77777777" w:rsidR="004D3DC0" w:rsidRDefault="004D3DC0" w:rsidP="00F7677B">
      <w:pPr>
        <w:pStyle w:val="Akapitzlist"/>
        <w:ind w:left="709"/>
        <w:rPr>
          <w:b/>
        </w:rPr>
      </w:pPr>
    </w:p>
    <w:p w14:paraId="00ECB8FB" w14:textId="1BF56759" w:rsidR="00F7677B" w:rsidRDefault="00F7677B" w:rsidP="00F7677B">
      <w:pPr>
        <w:pStyle w:val="Akapitzlist"/>
        <w:ind w:left="709"/>
        <w:rPr>
          <w:b/>
        </w:rPr>
      </w:pPr>
      <w:r w:rsidRPr="00F7677B">
        <w:rPr>
          <w:b/>
        </w:rPr>
        <w:t>Wzrost potencjału do prowadzenia działalności B+R:</w:t>
      </w:r>
    </w:p>
    <w:p w14:paraId="308A873E" w14:textId="0C3F8B01" w:rsidR="00F7677B" w:rsidRDefault="00F7677B" w:rsidP="00F7677B">
      <w:pPr>
        <w:pStyle w:val="Akapitzlist"/>
        <w:numPr>
          <w:ilvl w:val="0"/>
          <w:numId w:val="15"/>
        </w:numPr>
        <w:ind w:left="709" w:hanging="283"/>
      </w:pPr>
      <w:r w:rsidRPr="00F7677B">
        <w:t>63% firm zwiększyło potencjał w zakresie jednoczesnego prowadzenia kilku projektów B+R</w:t>
      </w:r>
      <w:r w:rsidR="004D3DC0">
        <w:t>.</w:t>
      </w:r>
    </w:p>
    <w:p w14:paraId="6B14CA83" w14:textId="25EAD55B" w:rsidR="00F7677B" w:rsidRDefault="00F7677B" w:rsidP="00F7677B">
      <w:pPr>
        <w:pStyle w:val="Akapitzlist"/>
        <w:numPr>
          <w:ilvl w:val="0"/>
          <w:numId w:val="15"/>
        </w:numPr>
        <w:ind w:left="709" w:hanging="283"/>
      </w:pPr>
      <w:r>
        <w:t xml:space="preserve">59% firm zmieniło model biznesowy w zakresie wejścia na nowe rynki, dotarcia </w:t>
      </w:r>
      <w:r w:rsidR="001C3AEA">
        <w:t>do</w:t>
      </w:r>
      <w:r>
        <w:t xml:space="preserve"> nowych klientów, dywersyfikacji lub zmiany źródeł przychodów.</w:t>
      </w:r>
    </w:p>
    <w:p w14:paraId="3B94C41D" w14:textId="4064F505" w:rsidR="00F7677B" w:rsidRDefault="00F7677B" w:rsidP="00F7677B">
      <w:pPr>
        <w:pStyle w:val="Akapitzlist"/>
        <w:numPr>
          <w:ilvl w:val="0"/>
          <w:numId w:val="15"/>
        </w:numPr>
        <w:ind w:left="709" w:hanging="283"/>
      </w:pPr>
      <w:r>
        <w:t>24% firm zmniejszyło koszty prowadzenia działalności.</w:t>
      </w:r>
    </w:p>
    <w:p w14:paraId="470C5D52" w14:textId="77777777" w:rsidR="00F7677B" w:rsidRDefault="00F7677B" w:rsidP="00F7677B"/>
    <w:p w14:paraId="0DF65579" w14:textId="77777777" w:rsidR="00F7677B" w:rsidRPr="00F7677B" w:rsidRDefault="00F7677B" w:rsidP="00F7677B"/>
    <w:p w14:paraId="521A27A5" w14:textId="77777777" w:rsidR="00D400DF" w:rsidRDefault="00D400DF" w:rsidP="003C22B8">
      <w:pPr>
        <w:pStyle w:val="Nagwek1"/>
      </w:pPr>
    </w:p>
    <w:p w14:paraId="506FB44A" w14:textId="77777777" w:rsidR="00D400DF" w:rsidRDefault="00D400DF" w:rsidP="003C22B8">
      <w:pPr>
        <w:pStyle w:val="Nagwek1"/>
      </w:pPr>
    </w:p>
    <w:p w14:paraId="75041FDE" w14:textId="77777777" w:rsidR="0000223F" w:rsidRDefault="0000223F" w:rsidP="0000223F"/>
    <w:p w14:paraId="3A478E5F" w14:textId="77777777" w:rsidR="0000223F" w:rsidRDefault="0000223F" w:rsidP="0000223F"/>
    <w:p w14:paraId="662D9C9D" w14:textId="77777777" w:rsidR="0000223F" w:rsidRDefault="0000223F" w:rsidP="0000223F"/>
    <w:p w14:paraId="7EDE2586" w14:textId="77777777" w:rsidR="0000223F" w:rsidRDefault="0000223F" w:rsidP="0000223F"/>
    <w:p w14:paraId="2B527480" w14:textId="77777777" w:rsidR="0000223F" w:rsidRDefault="0000223F" w:rsidP="0000223F"/>
    <w:p w14:paraId="154C1EDB" w14:textId="77777777" w:rsidR="0000223F" w:rsidRDefault="0000223F" w:rsidP="0000223F"/>
    <w:p w14:paraId="24486E8F" w14:textId="77777777" w:rsidR="0000223F" w:rsidRDefault="0000223F" w:rsidP="0000223F"/>
    <w:p w14:paraId="09C623DE" w14:textId="77777777" w:rsidR="0000223F" w:rsidRDefault="0000223F" w:rsidP="0000223F"/>
    <w:p w14:paraId="115AACCE" w14:textId="77777777" w:rsidR="0000223F" w:rsidRDefault="0000223F" w:rsidP="0000223F"/>
    <w:p w14:paraId="5EA4144E" w14:textId="77777777" w:rsidR="0000223F" w:rsidRDefault="0000223F" w:rsidP="0000223F"/>
    <w:p w14:paraId="57ABDA63" w14:textId="77777777" w:rsidR="0000223F" w:rsidRDefault="0000223F" w:rsidP="0000223F"/>
    <w:p w14:paraId="76E5F0F0" w14:textId="77777777" w:rsidR="0000223F" w:rsidRDefault="0000223F" w:rsidP="0000223F"/>
    <w:p w14:paraId="6E591362" w14:textId="77777777" w:rsidR="0000223F" w:rsidRDefault="0000223F" w:rsidP="0000223F"/>
    <w:p w14:paraId="6A497B87" w14:textId="77777777" w:rsidR="0000223F" w:rsidRDefault="0000223F" w:rsidP="0000223F"/>
    <w:p w14:paraId="2014DDA9" w14:textId="77777777" w:rsidR="0000223F" w:rsidRDefault="0000223F" w:rsidP="0000223F"/>
    <w:p w14:paraId="5B885A49" w14:textId="77777777" w:rsidR="0000223F" w:rsidRDefault="0000223F" w:rsidP="0000223F"/>
    <w:p w14:paraId="18FC7DB6" w14:textId="77777777" w:rsidR="0000223F" w:rsidRDefault="0000223F" w:rsidP="0000223F"/>
    <w:p w14:paraId="296F64C4" w14:textId="77777777" w:rsidR="0000223F" w:rsidRDefault="0000223F" w:rsidP="0000223F"/>
    <w:p w14:paraId="31798F24" w14:textId="77777777" w:rsidR="0000223F" w:rsidRDefault="0000223F" w:rsidP="0000223F"/>
    <w:p w14:paraId="1F752D0D" w14:textId="77777777" w:rsidR="0000223F" w:rsidRDefault="0000223F" w:rsidP="0000223F"/>
    <w:p w14:paraId="6D4DFE72" w14:textId="77777777" w:rsidR="0000223F" w:rsidRDefault="0000223F" w:rsidP="0000223F"/>
    <w:p w14:paraId="64275A7E" w14:textId="77777777" w:rsidR="0000223F" w:rsidRDefault="0000223F" w:rsidP="0000223F"/>
    <w:p w14:paraId="54C77002" w14:textId="77777777" w:rsidR="0000223F" w:rsidRDefault="0000223F" w:rsidP="0000223F"/>
    <w:p w14:paraId="0220ED93" w14:textId="77777777" w:rsidR="0000223F" w:rsidRDefault="0000223F" w:rsidP="0000223F"/>
    <w:p w14:paraId="3D6947DF" w14:textId="458E8785" w:rsidR="00E35AFD" w:rsidRPr="00A311EB" w:rsidRDefault="00E35AFD" w:rsidP="003C22B8">
      <w:pPr>
        <w:pStyle w:val="Nagwek1"/>
      </w:pPr>
      <w:r w:rsidRPr="003810CD">
        <w:t xml:space="preserve">Działanie </w:t>
      </w:r>
      <w:r w:rsidR="009319A4">
        <w:t>1</w:t>
      </w:r>
      <w:r w:rsidRPr="003810CD">
        <w:t>.</w:t>
      </w:r>
      <w:r w:rsidR="00C25BFC" w:rsidRPr="007A5070">
        <w:t>3</w:t>
      </w:r>
      <w:r w:rsidRPr="003810CD">
        <w:t xml:space="preserve"> </w:t>
      </w:r>
      <w:bookmarkStart w:id="1" w:name="_GoBack"/>
      <w:r w:rsidR="001E646E" w:rsidRPr="00A311EB">
        <w:rPr>
          <w:rFonts w:eastAsia="Times New Roman" w:cs="Times New Roman"/>
          <w:szCs w:val="24"/>
        </w:rPr>
        <w:t>Profesjonalizacja I</w:t>
      </w:r>
      <w:r w:rsidR="00B228C8" w:rsidRPr="00A311EB">
        <w:rPr>
          <w:rFonts w:eastAsia="Times New Roman" w:cs="Times New Roman"/>
          <w:szCs w:val="24"/>
        </w:rPr>
        <w:t xml:space="preserve">nstytucji </w:t>
      </w:r>
      <w:r w:rsidR="001E646E" w:rsidRPr="00A311EB">
        <w:rPr>
          <w:rFonts w:eastAsia="Times New Roman" w:cs="Times New Roman"/>
          <w:szCs w:val="24"/>
        </w:rPr>
        <w:t>O</w:t>
      </w:r>
      <w:r w:rsidR="00B228C8" w:rsidRPr="00A311EB">
        <w:rPr>
          <w:rFonts w:eastAsia="Times New Roman" w:cs="Times New Roman"/>
          <w:szCs w:val="24"/>
        </w:rPr>
        <w:t xml:space="preserve">toczenia </w:t>
      </w:r>
      <w:r w:rsidR="001E646E" w:rsidRPr="00A311EB">
        <w:rPr>
          <w:rFonts w:eastAsia="Times New Roman" w:cs="Times New Roman"/>
          <w:szCs w:val="24"/>
        </w:rPr>
        <w:t>B</w:t>
      </w:r>
      <w:r w:rsidR="00B228C8" w:rsidRPr="00A311EB">
        <w:rPr>
          <w:rFonts w:eastAsia="Times New Roman" w:cs="Times New Roman"/>
          <w:szCs w:val="24"/>
        </w:rPr>
        <w:t>iznesu (IOB)</w:t>
      </w:r>
    </w:p>
    <w:bookmarkEnd w:id="1"/>
    <w:p w14:paraId="6864626E" w14:textId="77777777" w:rsidR="00D400DF" w:rsidRDefault="00D400DF" w:rsidP="003C22B8">
      <w:pPr>
        <w:rPr>
          <w:b/>
          <w:bCs/>
        </w:rPr>
      </w:pPr>
    </w:p>
    <w:p w14:paraId="4FB3EAD9" w14:textId="77777777" w:rsidR="001D5C86" w:rsidRPr="001D5C86" w:rsidRDefault="00B11C26" w:rsidP="001D5C86">
      <w:pPr>
        <w:rPr>
          <w:b/>
          <w:bCs/>
        </w:rPr>
      </w:pPr>
      <w:r w:rsidRPr="001D5C86">
        <w:rPr>
          <w:b/>
          <w:bCs/>
        </w:rPr>
        <w:t xml:space="preserve">Cel szczegółowy: </w:t>
      </w:r>
    </w:p>
    <w:p w14:paraId="54E8E9D8" w14:textId="79415857" w:rsidR="00B11C26" w:rsidRPr="001D5C86" w:rsidRDefault="001D5C86" w:rsidP="001D5C86">
      <w:pPr>
        <w:pStyle w:val="Akapitzlist"/>
        <w:numPr>
          <w:ilvl w:val="0"/>
          <w:numId w:val="13"/>
        </w:numPr>
        <w:rPr>
          <w:b/>
          <w:bCs/>
        </w:rPr>
      </w:pPr>
      <w:r>
        <w:t>U</w:t>
      </w:r>
      <w:r w:rsidRPr="001D5C86">
        <w:t>lepszone otoczenie proinnowacyjne przedsiębiorstw</w:t>
      </w:r>
      <w:r>
        <w:t>.</w:t>
      </w:r>
    </w:p>
    <w:p w14:paraId="6E0F5733" w14:textId="107F07FF" w:rsidR="00EC5DEE" w:rsidRPr="009943A4" w:rsidRDefault="005E7896" w:rsidP="003C22B8">
      <w:pPr>
        <w:rPr>
          <w:b/>
          <w:bCs/>
        </w:rPr>
      </w:pPr>
      <w:r w:rsidRPr="009943A4">
        <w:rPr>
          <w:b/>
          <w:bCs/>
        </w:rPr>
        <w:t>Kluczowe produkty</w:t>
      </w:r>
      <w:r w:rsidR="00EC5DEE" w:rsidRPr="009943A4">
        <w:rPr>
          <w:b/>
          <w:bCs/>
        </w:rPr>
        <w:t>:</w:t>
      </w:r>
    </w:p>
    <w:p w14:paraId="32F897B9" w14:textId="5870C8D7" w:rsidR="00774785" w:rsidRDefault="00FE5BDD" w:rsidP="003C22B8">
      <w:pPr>
        <w:pStyle w:val="Akapitzlist"/>
        <w:numPr>
          <w:ilvl w:val="0"/>
          <w:numId w:val="3"/>
        </w:numPr>
      </w:pPr>
      <w:r>
        <w:t>Jedna IOB wsparta w zakresie profesjonalizacji świadczonych usług innowacyjnych.</w:t>
      </w:r>
    </w:p>
    <w:p w14:paraId="7E040CA3" w14:textId="065C2998" w:rsidR="00AA186F" w:rsidRDefault="00FE5BDD" w:rsidP="003C22B8">
      <w:pPr>
        <w:pStyle w:val="Akapitzlist"/>
        <w:numPr>
          <w:ilvl w:val="0"/>
          <w:numId w:val="3"/>
        </w:numPr>
      </w:pPr>
      <w:r>
        <w:t>Jedna nowa usługa świadczona przez IOB.</w:t>
      </w:r>
    </w:p>
    <w:p w14:paraId="5863BCE2" w14:textId="35CFF06F" w:rsidR="00FE5BDD" w:rsidRDefault="00FE5BDD" w:rsidP="003C22B8">
      <w:pPr>
        <w:pStyle w:val="Akapitzlist"/>
        <w:numPr>
          <w:ilvl w:val="0"/>
          <w:numId w:val="3"/>
        </w:numPr>
      </w:pPr>
      <w:r>
        <w:t>289 przedsiębiorstw otrzymujących wsparcie niefinansowe.</w:t>
      </w:r>
    </w:p>
    <w:p w14:paraId="18B44FBD" w14:textId="77777777" w:rsidR="00FE5BDD" w:rsidRPr="00AA186F" w:rsidRDefault="00FE5BDD" w:rsidP="00FE5BDD">
      <w:pPr>
        <w:pStyle w:val="Akapitzlist"/>
      </w:pPr>
    </w:p>
    <w:p w14:paraId="2A367D6D" w14:textId="710C55D6" w:rsidR="00EC5DEE" w:rsidRPr="009943A4" w:rsidRDefault="002C17F7" w:rsidP="003C22B8">
      <w:pPr>
        <w:rPr>
          <w:b/>
          <w:bCs/>
        </w:rPr>
      </w:pPr>
      <w:r w:rsidRPr="009943A4">
        <w:rPr>
          <w:b/>
          <w:bCs/>
        </w:rPr>
        <w:t xml:space="preserve">Kluczowe </w:t>
      </w:r>
      <w:r w:rsidR="00ED367F" w:rsidRPr="009943A4">
        <w:rPr>
          <w:b/>
          <w:bCs/>
        </w:rPr>
        <w:t>rezultaty</w:t>
      </w:r>
      <w:r w:rsidR="00EC5DEE" w:rsidRPr="009943A4">
        <w:rPr>
          <w:b/>
          <w:bCs/>
        </w:rPr>
        <w:t>:</w:t>
      </w:r>
    </w:p>
    <w:p w14:paraId="1EB8A1DA" w14:textId="78130361" w:rsidR="00FE5BDD" w:rsidRDefault="00FE5BDD" w:rsidP="00FE5BDD">
      <w:pPr>
        <w:pStyle w:val="Akapitzlist"/>
        <w:numPr>
          <w:ilvl w:val="0"/>
          <w:numId w:val="3"/>
        </w:numPr>
      </w:pPr>
      <w:r>
        <w:t>5 przedsiębiorstw testujących pilotażową usługę innowacyjną</w:t>
      </w:r>
      <w:r w:rsidR="00B228C8">
        <w:t>.</w:t>
      </w:r>
      <w:r>
        <w:t xml:space="preserve"> </w:t>
      </w:r>
    </w:p>
    <w:p w14:paraId="2C25ECD5" w14:textId="5550612B" w:rsidR="00FE5BDD" w:rsidRPr="00AA186F" w:rsidRDefault="00B228C8" w:rsidP="00FE5BDD">
      <w:pPr>
        <w:pStyle w:val="Akapitzlist"/>
        <w:numPr>
          <w:ilvl w:val="0"/>
          <w:numId w:val="3"/>
        </w:numPr>
      </w:pPr>
      <w:r>
        <w:t xml:space="preserve">7 </w:t>
      </w:r>
      <w:r w:rsidR="00FE5BDD">
        <w:t>instytucji współpracujących w ramach Sieci Regionalnych Obserwatorów Specjalistycznych.</w:t>
      </w:r>
    </w:p>
    <w:p w14:paraId="05479D55" w14:textId="77777777" w:rsidR="00FE5BDD" w:rsidRDefault="00FE5BDD" w:rsidP="003C22B8">
      <w:pPr>
        <w:rPr>
          <w:b/>
          <w:bCs/>
        </w:rPr>
      </w:pPr>
    </w:p>
    <w:p w14:paraId="0B167DBD" w14:textId="77777777" w:rsidR="00EC5DEE" w:rsidRPr="009943A4" w:rsidRDefault="00EC5DEE" w:rsidP="003C22B8">
      <w:pPr>
        <w:rPr>
          <w:b/>
          <w:bCs/>
        </w:rPr>
      </w:pPr>
      <w:r w:rsidRPr="009943A4">
        <w:rPr>
          <w:b/>
          <w:bCs/>
        </w:rPr>
        <w:t xml:space="preserve">Efekty dodatkowe: </w:t>
      </w:r>
    </w:p>
    <w:p w14:paraId="419E4A66" w14:textId="67D31717" w:rsidR="00D86ED3" w:rsidRDefault="00FE5BDD" w:rsidP="003C22B8">
      <w:pPr>
        <w:pStyle w:val="Akapitzlist"/>
        <w:numPr>
          <w:ilvl w:val="0"/>
          <w:numId w:val="3"/>
        </w:numPr>
      </w:pPr>
      <w:r>
        <w:t>Wypracowanie praktyki pilotażowego testowania usług innowacyjnych z użytkownikami końcowymi.</w:t>
      </w:r>
    </w:p>
    <w:p w14:paraId="39CC25CE" w14:textId="78709AFD" w:rsidR="00FE5BDD" w:rsidRPr="00D86ED3" w:rsidRDefault="00FE5BDD" w:rsidP="003C22B8">
      <w:pPr>
        <w:pStyle w:val="Akapitzlist"/>
        <w:numPr>
          <w:ilvl w:val="0"/>
          <w:numId w:val="3"/>
        </w:numPr>
      </w:pPr>
      <w:r>
        <w:t>Zakończenie pierwszej fazy Procesu Przedsiębiorczego Odkrywania i wytypowanie inteligentnych specjalizacji regionu.</w:t>
      </w:r>
    </w:p>
    <w:p w14:paraId="42CE333A" w14:textId="276B728A" w:rsidR="00EC5DEE" w:rsidRPr="00D86ED3" w:rsidRDefault="00EC5DEE" w:rsidP="003C22B8">
      <w:pPr>
        <w:pStyle w:val="Akapitzlist"/>
        <w:numPr>
          <w:ilvl w:val="0"/>
          <w:numId w:val="3"/>
        </w:numPr>
      </w:pPr>
      <w:r w:rsidRPr="00FE126D">
        <w:br w:type="page"/>
      </w:r>
    </w:p>
    <w:p w14:paraId="1D51C5C2" w14:textId="055ADCA7" w:rsidR="00912B66" w:rsidRPr="007A5070" w:rsidRDefault="00912B66" w:rsidP="003C22B8">
      <w:pPr>
        <w:pStyle w:val="Nagwek1"/>
      </w:pPr>
      <w:bookmarkStart w:id="2" w:name="_Hlk54196093"/>
      <w:r w:rsidRPr="003810CD">
        <w:lastRenderedPageBreak/>
        <w:t xml:space="preserve">Działanie </w:t>
      </w:r>
      <w:r w:rsidR="009319A4">
        <w:t>1</w:t>
      </w:r>
      <w:r w:rsidRPr="003810CD">
        <w:t>.</w:t>
      </w:r>
      <w:r>
        <w:t xml:space="preserve">4 </w:t>
      </w:r>
      <w:r w:rsidR="009319A4" w:rsidRPr="009319A4">
        <w:rPr>
          <w:rFonts w:eastAsia="Times New Roman" w:cs="Times New Roman"/>
          <w:color w:val="000000"/>
          <w:szCs w:val="24"/>
        </w:rPr>
        <w:t>Wsparcie ekosystemu innowacji</w:t>
      </w:r>
    </w:p>
    <w:p w14:paraId="5DDD4FEA" w14:textId="77777777" w:rsidR="007909E3" w:rsidRDefault="007909E3" w:rsidP="003C22B8">
      <w:pPr>
        <w:rPr>
          <w:b/>
          <w:bCs/>
        </w:rPr>
      </w:pPr>
    </w:p>
    <w:p w14:paraId="0850AF97" w14:textId="77777777" w:rsidR="001D5C86" w:rsidRDefault="00912B66" w:rsidP="003C22B8">
      <w:pPr>
        <w:rPr>
          <w:b/>
          <w:bCs/>
        </w:rPr>
      </w:pPr>
      <w:r w:rsidRPr="003810CD">
        <w:rPr>
          <w:b/>
          <w:bCs/>
        </w:rPr>
        <w:t xml:space="preserve">Cel szczegółowy: </w:t>
      </w:r>
    </w:p>
    <w:p w14:paraId="651C5B12" w14:textId="26B970C9" w:rsidR="00912B66" w:rsidRPr="001D5C86" w:rsidRDefault="001D5C86" w:rsidP="001D5C86">
      <w:pPr>
        <w:pStyle w:val="Akapitzlist"/>
        <w:numPr>
          <w:ilvl w:val="0"/>
          <w:numId w:val="14"/>
        </w:numPr>
        <w:rPr>
          <w:b/>
          <w:bCs/>
        </w:rPr>
      </w:pPr>
      <w:r w:rsidRPr="001D5C86">
        <w:t>Rozwój ekosystemu innowacji Województwa Śląskiego</w:t>
      </w:r>
      <w:r w:rsidR="006B1458">
        <w:t>.</w:t>
      </w:r>
    </w:p>
    <w:p w14:paraId="0BDEB934" w14:textId="13ABCCCD" w:rsidR="00912B66" w:rsidRPr="009943A4" w:rsidRDefault="00912B66" w:rsidP="003C22B8">
      <w:pPr>
        <w:rPr>
          <w:b/>
          <w:bCs/>
        </w:rPr>
      </w:pPr>
      <w:r w:rsidRPr="009943A4">
        <w:rPr>
          <w:b/>
          <w:bCs/>
        </w:rPr>
        <w:t>Kluczowe produkty</w:t>
      </w:r>
      <w:r w:rsidR="007909E3">
        <w:rPr>
          <w:b/>
          <w:bCs/>
        </w:rPr>
        <w:t xml:space="preserve"> i rezultaty</w:t>
      </w:r>
      <w:r w:rsidRPr="009943A4">
        <w:rPr>
          <w:b/>
          <w:bCs/>
        </w:rPr>
        <w:t>:</w:t>
      </w:r>
    </w:p>
    <w:p w14:paraId="64DF198F" w14:textId="396F717B" w:rsidR="00220AF7" w:rsidRPr="007909E3" w:rsidRDefault="007909E3" w:rsidP="003C22B8">
      <w:pPr>
        <w:pStyle w:val="Akapitzlist"/>
        <w:numPr>
          <w:ilvl w:val="0"/>
          <w:numId w:val="3"/>
        </w:numPr>
        <w:rPr>
          <w:b/>
          <w:bCs/>
        </w:rPr>
      </w:pPr>
      <w:r>
        <w:t>4 nowe instytucje wspierające innowacje</w:t>
      </w:r>
      <w:r w:rsidR="004D3DC0">
        <w:t>.</w:t>
      </w:r>
    </w:p>
    <w:p w14:paraId="40DC8E3E" w14:textId="03614425" w:rsidR="007909E3" w:rsidRDefault="007909E3" w:rsidP="003C22B8">
      <w:pPr>
        <w:pStyle w:val="Akapitzlist"/>
        <w:numPr>
          <w:ilvl w:val="0"/>
          <w:numId w:val="3"/>
        </w:numPr>
        <w:rPr>
          <w:bCs/>
        </w:rPr>
      </w:pPr>
      <w:r w:rsidRPr="007909E3">
        <w:rPr>
          <w:bCs/>
        </w:rPr>
        <w:t xml:space="preserve">7 nowych usług uzupełniających </w:t>
      </w:r>
      <w:r>
        <w:rPr>
          <w:bCs/>
        </w:rPr>
        <w:t>ofertę ekosystemu innowacji</w:t>
      </w:r>
      <w:r w:rsidR="004D3DC0">
        <w:rPr>
          <w:bCs/>
        </w:rPr>
        <w:t>.</w:t>
      </w:r>
    </w:p>
    <w:p w14:paraId="41B3A139" w14:textId="457FE55B" w:rsidR="007909E3" w:rsidRDefault="007909E3" w:rsidP="003C22B8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44 firmy korzystające ze wsparcia niefinansowego</w:t>
      </w:r>
      <w:r w:rsidR="004D3DC0">
        <w:rPr>
          <w:bCs/>
        </w:rPr>
        <w:t>.</w:t>
      </w:r>
    </w:p>
    <w:p w14:paraId="12EF6BD6" w14:textId="568EAA73" w:rsidR="007909E3" w:rsidRPr="007909E3" w:rsidRDefault="007909E3" w:rsidP="003C22B8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40 firm współpracujących z jednostkami badawczymi</w:t>
      </w:r>
      <w:r w:rsidR="004D3DC0">
        <w:rPr>
          <w:bCs/>
        </w:rPr>
        <w:t>.</w:t>
      </w:r>
    </w:p>
    <w:p w14:paraId="5DEFE5BB" w14:textId="77777777" w:rsidR="00912B66" w:rsidRPr="009943A4" w:rsidRDefault="00912B66" w:rsidP="003C22B8">
      <w:pPr>
        <w:rPr>
          <w:b/>
          <w:bCs/>
        </w:rPr>
      </w:pPr>
      <w:r w:rsidRPr="009943A4">
        <w:rPr>
          <w:b/>
          <w:bCs/>
        </w:rPr>
        <w:t xml:space="preserve">Efekty dodatkowe: </w:t>
      </w:r>
    </w:p>
    <w:p w14:paraId="27FF9941" w14:textId="69B89404" w:rsidR="00FE5BDD" w:rsidRDefault="00D45767" w:rsidP="00FE5BDD">
      <w:pPr>
        <w:pStyle w:val="Akapitzlist"/>
        <w:numPr>
          <w:ilvl w:val="0"/>
          <w:numId w:val="3"/>
        </w:numPr>
      </w:pPr>
      <w:r>
        <w:t>W</w:t>
      </w:r>
      <w:r w:rsidR="00FE5BDD" w:rsidRPr="00FE5BDD">
        <w:t>ytyczenie nowych kierunków polityki innowacyjnej regionu</w:t>
      </w:r>
      <w:r>
        <w:t>.</w:t>
      </w:r>
    </w:p>
    <w:p w14:paraId="17D2DA95" w14:textId="6E288E33" w:rsidR="00FE5BDD" w:rsidRDefault="00D45767" w:rsidP="00FE5BDD">
      <w:pPr>
        <w:pStyle w:val="Akapitzlist"/>
        <w:numPr>
          <w:ilvl w:val="0"/>
          <w:numId w:val="3"/>
        </w:numPr>
      </w:pPr>
      <w:r>
        <w:t>W</w:t>
      </w:r>
      <w:r w:rsidR="007909E3">
        <w:t>ytypowanie</w:t>
      </w:r>
      <w:r w:rsidR="00FE5BDD" w:rsidRPr="00FE5BDD">
        <w:t xml:space="preserve"> dwóch inteligentnych specjalizacji regionu</w:t>
      </w:r>
      <w:r>
        <w:t>.</w:t>
      </w:r>
    </w:p>
    <w:p w14:paraId="1DCC8C74" w14:textId="570C1F3B" w:rsidR="00FE5BDD" w:rsidRDefault="00D45767" w:rsidP="003C22B8">
      <w:pPr>
        <w:pStyle w:val="Akapitzlist"/>
        <w:numPr>
          <w:ilvl w:val="0"/>
          <w:numId w:val="3"/>
        </w:numPr>
      </w:pPr>
      <w:r>
        <w:t>W</w:t>
      </w:r>
      <w:r w:rsidR="00FE5BDD" w:rsidRPr="00FE5BDD">
        <w:t>iększa aktywność regionalnych aktorów ekosystemu innowacji</w:t>
      </w:r>
      <w:r>
        <w:t>.</w:t>
      </w:r>
      <w:r w:rsidR="00FE5BDD" w:rsidRPr="00FE5BDD">
        <w:t xml:space="preserve"> </w:t>
      </w:r>
    </w:p>
    <w:p w14:paraId="5343713F" w14:textId="20FD3D02" w:rsidR="00BE2F13" w:rsidRDefault="00D45767" w:rsidP="003C22B8">
      <w:pPr>
        <w:pStyle w:val="Akapitzlist"/>
        <w:numPr>
          <w:ilvl w:val="0"/>
          <w:numId w:val="3"/>
        </w:numPr>
      </w:pPr>
      <w:r>
        <w:t>W</w:t>
      </w:r>
      <w:r w:rsidR="00FE5BDD">
        <w:t>ypracowanie formuły partycypacyjnej w tworzeniu ekosystemu innowacji</w:t>
      </w:r>
      <w:r w:rsidR="00EB38F2">
        <w:t>.</w:t>
      </w:r>
    </w:p>
    <w:p w14:paraId="3B85405F" w14:textId="3CF35E54" w:rsidR="00F8069D" w:rsidRDefault="00D45767" w:rsidP="00F8069D">
      <w:pPr>
        <w:pStyle w:val="Akapitzlist"/>
        <w:numPr>
          <w:ilvl w:val="0"/>
          <w:numId w:val="3"/>
        </w:numPr>
      </w:pPr>
      <w:r>
        <w:t>K</w:t>
      </w:r>
      <w:r w:rsidR="00F8069D" w:rsidRPr="00F8069D">
        <w:t>onwersj</w:t>
      </w:r>
      <w:r w:rsidR="00F8069D">
        <w:t>a</w:t>
      </w:r>
      <w:r w:rsidR="00F8069D" w:rsidRPr="00F8069D">
        <w:t xml:space="preserve"> miejsc poprzemysłowych oraz ekonomicznie degradujących się na przestrzenie kreatywności, nauki i kultury</w:t>
      </w:r>
      <w:r w:rsidR="00EB38F2">
        <w:t>.</w:t>
      </w:r>
    </w:p>
    <w:p w14:paraId="0C97BF0D" w14:textId="401AAC23" w:rsidR="00F8069D" w:rsidRDefault="00D45767" w:rsidP="00F8069D">
      <w:pPr>
        <w:pStyle w:val="Akapitzlist"/>
        <w:numPr>
          <w:ilvl w:val="0"/>
          <w:numId w:val="3"/>
        </w:numPr>
      </w:pPr>
      <w:r>
        <w:t>U</w:t>
      </w:r>
      <w:r w:rsidR="00F8069D" w:rsidRPr="00F8069D">
        <w:t>zupełni</w:t>
      </w:r>
      <w:r w:rsidR="00F8069D">
        <w:t>enie</w:t>
      </w:r>
      <w:r w:rsidR="00F8069D" w:rsidRPr="00F8069D">
        <w:t xml:space="preserve"> luk w terytorialnej dostępności proinnowacyjnych usług</w:t>
      </w:r>
      <w:r w:rsidR="00F8069D">
        <w:t xml:space="preserve"> na Śląsku.</w:t>
      </w:r>
    </w:p>
    <w:p w14:paraId="43DA9234" w14:textId="77777777" w:rsidR="00FE5BDD" w:rsidRDefault="00FE5BDD" w:rsidP="003C22B8"/>
    <w:p w14:paraId="055576FF" w14:textId="77777777" w:rsidR="00912B66" w:rsidRDefault="00912B66" w:rsidP="003C22B8">
      <w:r>
        <w:br w:type="page"/>
      </w:r>
    </w:p>
    <w:bookmarkEnd w:id="2"/>
    <w:p w14:paraId="3CA63BA9" w14:textId="45BD25FD" w:rsidR="001C1313" w:rsidRDefault="001C1313" w:rsidP="003C22B8">
      <w:pPr>
        <w:pStyle w:val="Nagwek1"/>
      </w:pPr>
      <w:r>
        <w:lastRenderedPageBreak/>
        <w:t>Wkład interwencji w realizację celów strategicznych</w:t>
      </w:r>
    </w:p>
    <w:p w14:paraId="6AAB7FD0" w14:textId="77777777" w:rsidR="001E646E" w:rsidRDefault="001E646E" w:rsidP="001E646E">
      <w:pPr>
        <w:tabs>
          <w:tab w:val="right" w:pos="9061"/>
          <w:tab w:val="left" w:pos="400"/>
        </w:tabs>
        <w:spacing w:before="0" w:after="160" w:line="276" w:lineRule="auto"/>
        <w:jc w:val="both"/>
        <w:rPr>
          <w:rFonts w:eastAsia="Montserrat"/>
          <w:lang w:eastAsia="en-US"/>
        </w:rPr>
      </w:pPr>
    </w:p>
    <w:p w14:paraId="67357F4F" w14:textId="77777777" w:rsidR="001E646E" w:rsidRPr="009319A4" w:rsidRDefault="001E646E" w:rsidP="001E646E">
      <w:pPr>
        <w:pStyle w:val="Nagwek1"/>
      </w:pPr>
      <w:r w:rsidRPr="003810CD">
        <w:t xml:space="preserve">Działanie </w:t>
      </w:r>
      <w:r w:rsidRPr="009319A4">
        <w:t>1.1. Kluczowa dla regionu infrastruktura badawcza</w:t>
      </w:r>
      <w:r>
        <w:t>:</w:t>
      </w:r>
    </w:p>
    <w:p w14:paraId="3BDD9A94" w14:textId="506D9BE4" w:rsidR="001E646E" w:rsidRDefault="001E646E" w:rsidP="001E646E">
      <w:pPr>
        <w:tabs>
          <w:tab w:val="right" w:pos="9061"/>
          <w:tab w:val="left" w:pos="400"/>
        </w:tabs>
        <w:spacing w:before="0" w:after="160" w:line="276" w:lineRule="auto"/>
        <w:jc w:val="both"/>
        <w:rPr>
          <w:rFonts w:eastAsia="Montserrat"/>
          <w:lang w:eastAsia="en-US"/>
        </w:rPr>
      </w:pPr>
      <w:r w:rsidRPr="001E646E">
        <w:rPr>
          <w:rFonts w:eastAsia="Montserrat"/>
          <w:lang w:eastAsia="en-US"/>
        </w:rPr>
        <w:t xml:space="preserve">W wymiarze strategicznym </w:t>
      </w:r>
      <w:r w:rsidR="00055260" w:rsidRPr="00055260">
        <w:rPr>
          <w:rFonts w:eastAsia="Montserrat"/>
          <w:b/>
          <w:lang w:eastAsia="en-US"/>
        </w:rPr>
        <w:t>dofinansowanie UE</w:t>
      </w:r>
      <w:r w:rsidRPr="001E646E">
        <w:rPr>
          <w:rFonts w:eastAsia="Montserrat"/>
          <w:b/>
          <w:lang w:eastAsia="en-US"/>
        </w:rPr>
        <w:t xml:space="preserve"> </w:t>
      </w:r>
      <w:r w:rsidR="00055260" w:rsidRPr="00055260">
        <w:rPr>
          <w:rFonts w:eastAsia="Montserrat"/>
          <w:b/>
          <w:lang w:eastAsia="en-US"/>
        </w:rPr>
        <w:t>w wysokości 213,3 mln zł</w:t>
      </w:r>
      <w:r w:rsidR="00055260">
        <w:rPr>
          <w:rFonts w:eastAsia="Montserrat"/>
          <w:lang w:eastAsia="en-US"/>
        </w:rPr>
        <w:t xml:space="preserve"> </w:t>
      </w:r>
      <w:r w:rsidRPr="001E646E">
        <w:rPr>
          <w:rFonts w:eastAsia="Montserrat"/>
          <w:lang w:eastAsia="en-US"/>
        </w:rPr>
        <w:t>poniesione w związku z działaniem mogł</w:t>
      </w:r>
      <w:r w:rsidR="00055260">
        <w:rPr>
          <w:rFonts w:eastAsia="Montserrat"/>
          <w:lang w:eastAsia="en-US"/>
        </w:rPr>
        <w:t>o</w:t>
      </w:r>
      <w:r w:rsidRPr="001E646E">
        <w:rPr>
          <w:rFonts w:eastAsia="Montserrat"/>
          <w:lang w:eastAsia="en-US"/>
        </w:rPr>
        <w:t xml:space="preserve"> wywr</w:t>
      </w:r>
      <w:r w:rsidR="00C35992">
        <w:rPr>
          <w:rFonts w:eastAsia="Montserrat"/>
          <w:lang w:eastAsia="en-US"/>
        </w:rPr>
        <w:t>zeć korzystny wpływ na wskaźnik</w:t>
      </w:r>
      <w:r w:rsidRPr="001E646E">
        <w:rPr>
          <w:rFonts w:eastAsia="Montserrat"/>
          <w:lang w:eastAsia="en-US"/>
        </w:rPr>
        <w:t xml:space="preserve"> „</w:t>
      </w:r>
      <w:r w:rsidRPr="00C35992">
        <w:rPr>
          <w:rFonts w:eastAsia="Montserrat"/>
          <w:i/>
          <w:lang w:eastAsia="en-US"/>
        </w:rPr>
        <w:t>Nakłady sektora rządowego i szkolnictwa wyższego na działalność B+R w relacji do PKB</w:t>
      </w:r>
      <w:r w:rsidRPr="001E646E">
        <w:rPr>
          <w:rFonts w:eastAsia="Montserrat"/>
          <w:lang w:eastAsia="en-US"/>
        </w:rPr>
        <w:t>” mitygując niekorzystne trendy obserwowane w związku z realnym spadkiem nakładów sektora rządowego i szkolnictwa wyższego</w:t>
      </w:r>
      <w:r w:rsidR="00066438">
        <w:rPr>
          <w:rFonts w:eastAsia="Montserrat"/>
          <w:lang w:eastAsia="en-US"/>
        </w:rPr>
        <w:t xml:space="preserve"> w ostatnich latach</w:t>
      </w:r>
      <w:r w:rsidRPr="001E646E">
        <w:rPr>
          <w:rFonts w:eastAsia="Montserrat"/>
          <w:lang w:eastAsia="en-US"/>
        </w:rPr>
        <w:t xml:space="preserve">. Planowana wartość wskaźnika miała w województwie śląskim wzrosnąć z 0,32% w 2011 r. do 0,50% w 2023 r. </w:t>
      </w:r>
      <w:r w:rsidR="00066438">
        <w:rPr>
          <w:rFonts w:eastAsia="Montserrat"/>
          <w:lang w:eastAsia="en-US"/>
        </w:rPr>
        <w:t>J</w:t>
      </w:r>
      <w:r w:rsidRPr="001E646E">
        <w:rPr>
          <w:rFonts w:eastAsia="Montserrat"/>
          <w:lang w:eastAsia="en-US"/>
        </w:rPr>
        <w:t>ego r</w:t>
      </w:r>
      <w:r w:rsidR="00066438">
        <w:rPr>
          <w:rFonts w:eastAsia="Montserrat"/>
          <w:lang w:eastAsia="en-US"/>
        </w:rPr>
        <w:t xml:space="preserve">zeczywista </w:t>
      </w:r>
      <w:r w:rsidRPr="001E646E">
        <w:rPr>
          <w:rFonts w:eastAsia="Montserrat"/>
          <w:lang w:eastAsia="en-US"/>
        </w:rPr>
        <w:t>wartość w ostatnim dostępnym okresie pomi</w:t>
      </w:r>
      <w:r w:rsidR="00055260">
        <w:rPr>
          <w:rFonts w:eastAsia="Montserrat"/>
          <w:lang w:eastAsia="en-US"/>
        </w:rPr>
        <w:t>arowym</w:t>
      </w:r>
      <w:r w:rsidR="00066438">
        <w:rPr>
          <w:rFonts w:eastAsia="Montserrat"/>
          <w:lang w:eastAsia="en-US"/>
        </w:rPr>
        <w:t xml:space="preserve"> (</w:t>
      </w:r>
      <w:r w:rsidR="00066438" w:rsidRPr="00066438">
        <w:rPr>
          <w:rFonts w:eastAsia="Montserrat"/>
          <w:lang w:eastAsia="en-US"/>
        </w:rPr>
        <w:t>w 2019 r.</w:t>
      </w:r>
      <w:r w:rsidR="00066438">
        <w:rPr>
          <w:rFonts w:eastAsia="Montserrat"/>
          <w:lang w:eastAsia="en-US"/>
        </w:rPr>
        <w:t>)</w:t>
      </w:r>
      <w:r w:rsidR="00055260">
        <w:rPr>
          <w:rFonts w:eastAsia="Montserrat"/>
          <w:lang w:eastAsia="en-US"/>
        </w:rPr>
        <w:t xml:space="preserve"> wynosiła </w:t>
      </w:r>
      <w:r w:rsidR="00066438">
        <w:rPr>
          <w:rFonts w:eastAsia="Montserrat"/>
          <w:lang w:eastAsia="en-US"/>
        </w:rPr>
        <w:t xml:space="preserve">jednak tylko </w:t>
      </w:r>
      <w:r w:rsidR="00055260">
        <w:rPr>
          <w:rFonts w:eastAsia="Montserrat"/>
          <w:lang w:eastAsia="en-US"/>
        </w:rPr>
        <w:t>0,31%</w:t>
      </w:r>
      <w:r w:rsidRPr="001E646E">
        <w:rPr>
          <w:rFonts w:eastAsia="Montserrat"/>
          <w:lang w:eastAsia="en-US"/>
        </w:rPr>
        <w:t>, a z przeprowadzonego modelowania wynika, że w 2023 roku udział nakładów sektora rządowego i szkolnictwa wyższego na B+R w PKB województwa śląskiego w wariancie podstawowym wyniesie 0,35%</w:t>
      </w:r>
      <w:r w:rsidR="00B40272">
        <w:rPr>
          <w:rFonts w:eastAsia="Montserrat"/>
          <w:lang w:eastAsia="en-US"/>
        </w:rPr>
        <w:t>,</w:t>
      </w:r>
      <w:r w:rsidRPr="001E646E">
        <w:rPr>
          <w:rFonts w:eastAsia="Montserrat"/>
          <w:lang w:eastAsia="en-US"/>
        </w:rPr>
        <w:t xml:space="preserve"> a wariancie optymistycznym 0,39% PKB. </w:t>
      </w:r>
    </w:p>
    <w:p w14:paraId="7FAE5083" w14:textId="6D8279CE" w:rsidR="001E646E" w:rsidRDefault="001E646E" w:rsidP="001E646E">
      <w:pPr>
        <w:spacing w:line="36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</w:t>
      </w:r>
      <w:r w:rsidRPr="009319A4">
        <w:rPr>
          <w:b/>
          <w:bCs/>
          <w:sz w:val="28"/>
          <w:szCs w:val="32"/>
        </w:rPr>
        <w:t xml:space="preserve">ziałanie 1.2. Badania, rozwój i innowacje w przedsiębiorstwach </w:t>
      </w:r>
    </w:p>
    <w:p w14:paraId="50324A2C" w14:textId="2682DE3B" w:rsidR="001E646E" w:rsidRDefault="001E646E" w:rsidP="001E646E">
      <w:pPr>
        <w:tabs>
          <w:tab w:val="right" w:pos="9061"/>
          <w:tab w:val="left" w:pos="400"/>
        </w:tabs>
        <w:spacing w:before="0" w:after="160" w:line="276" w:lineRule="auto"/>
        <w:jc w:val="both"/>
        <w:rPr>
          <w:rFonts w:eastAsia="Montserrat"/>
          <w:lang w:eastAsia="en-US"/>
        </w:rPr>
      </w:pPr>
      <w:r w:rsidRPr="001E646E">
        <w:rPr>
          <w:rFonts w:eastAsia="Montserrat"/>
          <w:lang w:eastAsia="en-US"/>
        </w:rPr>
        <w:t xml:space="preserve">W wymiarze strategicznym </w:t>
      </w:r>
      <w:r w:rsidR="00055260" w:rsidRPr="00055260">
        <w:rPr>
          <w:rFonts w:eastAsia="Montserrat"/>
          <w:b/>
          <w:lang w:eastAsia="en-US"/>
        </w:rPr>
        <w:t>dofinansowanie UE</w:t>
      </w:r>
      <w:r w:rsidR="00055260" w:rsidRPr="001E646E">
        <w:rPr>
          <w:rFonts w:eastAsia="Montserrat"/>
          <w:b/>
          <w:lang w:eastAsia="en-US"/>
        </w:rPr>
        <w:t xml:space="preserve"> </w:t>
      </w:r>
      <w:r w:rsidR="00055260" w:rsidRPr="00055260">
        <w:rPr>
          <w:rFonts w:eastAsia="Montserrat"/>
          <w:b/>
          <w:lang w:eastAsia="en-US"/>
        </w:rPr>
        <w:t>w wysokości</w:t>
      </w:r>
      <w:r w:rsidRPr="00055260">
        <w:rPr>
          <w:rFonts w:eastAsia="Montserrat"/>
          <w:b/>
          <w:lang w:eastAsia="en-US"/>
        </w:rPr>
        <w:t xml:space="preserve"> </w:t>
      </w:r>
      <w:r w:rsidR="00055260" w:rsidRPr="00055260">
        <w:rPr>
          <w:rFonts w:eastAsia="Montserrat"/>
          <w:b/>
          <w:lang w:eastAsia="en-US"/>
        </w:rPr>
        <w:t>399,7 mln zł</w:t>
      </w:r>
      <w:r w:rsidR="00055260" w:rsidRPr="00055260">
        <w:rPr>
          <w:rFonts w:eastAsia="Montserrat"/>
          <w:lang w:eastAsia="en-US"/>
        </w:rPr>
        <w:t xml:space="preserve"> </w:t>
      </w:r>
      <w:r w:rsidRPr="001E646E">
        <w:rPr>
          <w:rFonts w:eastAsia="Montserrat"/>
          <w:lang w:eastAsia="en-US"/>
        </w:rPr>
        <w:t xml:space="preserve">poniesione </w:t>
      </w:r>
      <w:r w:rsidR="00066438">
        <w:rPr>
          <w:rFonts w:eastAsia="Montserrat"/>
          <w:lang w:eastAsia="en-US"/>
        </w:rPr>
        <w:br/>
      </w:r>
      <w:r w:rsidRPr="001E646E">
        <w:rPr>
          <w:rFonts w:eastAsia="Montserrat"/>
          <w:lang w:eastAsia="en-US"/>
        </w:rPr>
        <w:t>w związku z działaniem mogł</w:t>
      </w:r>
      <w:r w:rsidR="001C3AEA">
        <w:rPr>
          <w:rFonts w:eastAsia="Montserrat"/>
          <w:lang w:eastAsia="en-US"/>
        </w:rPr>
        <w:t>o</w:t>
      </w:r>
      <w:r w:rsidRPr="001E646E">
        <w:rPr>
          <w:rFonts w:eastAsia="Montserrat"/>
          <w:lang w:eastAsia="en-US"/>
        </w:rPr>
        <w:t xml:space="preserve"> wywrzeć korzystny wpływ na wskaźnik „</w:t>
      </w:r>
      <w:r w:rsidRPr="00C35992">
        <w:rPr>
          <w:rFonts w:eastAsia="Montserrat"/>
          <w:i/>
          <w:lang w:eastAsia="en-US"/>
        </w:rPr>
        <w:t>Nakłady na działalność B+R w relacji do PKB</w:t>
      </w:r>
      <w:r w:rsidR="00B40272">
        <w:rPr>
          <w:rFonts w:eastAsia="Montserrat"/>
          <w:lang w:eastAsia="en-US"/>
        </w:rPr>
        <w:t>”</w:t>
      </w:r>
      <w:r w:rsidRPr="001E646E">
        <w:rPr>
          <w:rFonts w:eastAsia="Montserrat"/>
          <w:lang w:eastAsia="en-US"/>
        </w:rPr>
        <w:t>. Jego realizacja na poziomie 0,7% w 2023 r. jest możliwa</w:t>
      </w:r>
      <w:r w:rsidR="00B40272">
        <w:rPr>
          <w:rFonts w:eastAsia="Montserrat"/>
          <w:lang w:eastAsia="en-US"/>
        </w:rPr>
        <w:t>, jednak bardziej prawdopodobne, że wskaźnik osiągnie docelowo wartości na poziomie</w:t>
      </w:r>
      <w:r w:rsidRPr="001E646E">
        <w:rPr>
          <w:rFonts w:eastAsia="Montserrat"/>
          <w:lang w:eastAsia="en-US"/>
        </w:rPr>
        <w:t xml:space="preserve"> 0,53-0.58%.</w:t>
      </w:r>
    </w:p>
    <w:p w14:paraId="5F35B3F8" w14:textId="77777777" w:rsidR="001E646E" w:rsidRPr="007A5070" w:rsidRDefault="001E646E" w:rsidP="001E646E">
      <w:pPr>
        <w:pStyle w:val="Nagwek1"/>
      </w:pPr>
      <w:r w:rsidRPr="003810CD">
        <w:t xml:space="preserve">Działanie </w:t>
      </w:r>
      <w:r>
        <w:t>1</w:t>
      </w:r>
      <w:r w:rsidRPr="003810CD">
        <w:t>.</w:t>
      </w:r>
      <w:r w:rsidRPr="007A5070">
        <w:t>3</w:t>
      </w:r>
      <w:r w:rsidRPr="003810CD">
        <w:t xml:space="preserve"> </w:t>
      </w:r>
      <w:r w:rsidRPr="009319A4">
        <w:rPr>
          <w:rFonts w:eastAsia="Times New Roman" w:cs="Times New Roman"/>
          <w:color w:val="000000"/>
          <w:szCs w:val="24"/>
        </w:rPr>
        <w:t>Profesjonalizacja IOB</w:t>
      </w:r>
    </w:p>
    <w:p w14:paraId="7C464EDF" w14:textId="28A067F8" w:rsidR="001E646E" w:rsidRDefault="001E646E" w:rsidP="001E646E">
      <w:pPr>
        <w:tabs>
          <w:tab w:val="right" w:pos="9061"/>
          <w:tab w:val="left" w:pos="400"/>
        </w:tabs>
        <w:spacing w:before="0" w:after="160" w:line="276" w:lineRule="auto"/>
        <w:jc w:val="both"/>
        <w:rPr>
          <w:rFonts w:eastAsia="Montserrat"/>
          <w:lang w:eastAsia="en-US"/>
        </w:rPr>
      </w:pPr>
      <w:r w:rsidRPr="001E646E">
        <w:rPr>
          <w:rFonts w:eastAsia="Montserrat"/>
          <w:lang w:eastAsia="en-US"/>
        </w:rPr>
        <w:t xml:space="preserve">W wymiarze strategicznym </w:t>
      </w:r>
      <w:r w:rsidR="00055260" w:rsidRPr="00055260">
        <w:rPr>
          <w:rFonts w:eastAsia="Montserrat"/>
          <w:b/>
          <w:lang w:eastAsia="en-US"/>
        </w:rPr>
        <w:t>dofinansowanie UE</w:t>
      </w:r>
      <w:r w:rsidR="00055260" w:rsidRPr="001E646E">
        <w:rPr>
          <w:rFonts w:eastAsia="Montserrat"/>
          <w:b/>
          <w:lang w:eastAsia="en-US"/>
        </w:rPr>
        <w:t xml:space="preserve"> </w:t>
      </w:r>
      <w:r w:rsidR="00055260" w:rsidRPr="00055260">
        <w:rPr>
          <w:rFonts w:eastAsia="Montserrat"/>
          <w:b/>
          <w:lang w:eastAsia="en-US"/>
        </w:rPr>
        <w:t>w wysokości 5,35 mln z</w:t>
      </w:r>
      <w:r w:rsidR="00055260" w:rsidRPr="00055260">
        <w:rPr>
          <w:rFonts w:eastAsia="Montserrat"/>
          <w:lang w:eastAsia="en-US"/>
        </w:rPr>
        <w:t xml:space="preserve">ł </w:t>
      </w:r>
      <w:r w:rsidRPr="001E646E">
        <w:rPr>
          <w:rFonts w:eastAsia="Montserrat"/>
          <w:lang w:eastAsia="en-US"/>
        </w:rPr>
        <w:t>poniesione w związku z działani</w:t>
      </w:r>
      <w:r w:rsidR="00055260">
        <w:rPr>
          <w:rFonts w:eastAsia="Montserrat"/>
          <w:lang w:eastAsia="en-US"/>
        </w:rPr>
        <w:t>em ukierunkowanym</w:t>
      </w:r>
      <w:r w:rsidRPr="001E646E">
        <w:rPr>
          <w:rFonts w:eastAsia="Montserrat"/>
          <w:lang w:eastAsia="en-US"/>
        </w:rPr>
        <w:t xml:space="preserve"> na współpracę z instytucjami otoczenia biznesu mogł</w:t>
      </w:r>
      <w:r w:rsidR="00055260">
        <w:rPr>
          <w:rFonts w:eastAsia="Montserrat"/>
          <w:lang w:eastAsia="en-US"/>
        </w:rPr>
        <w:t>o</w:t>
      </w:r>
      <w:r w:rsidRPr="001E646E">
        <w:rPr>
          <w:rFonts w:eastAsia="Montserrat"/>
          <w:lang w:eastAsia="en-US"/>
        </w:rPr>
        <w:t xml:space="preserve"> wywr</w:t>
      </w:r>
      <w:r w:rsidR="00C35992">
        <w:rPr>
          <w:rFonts w:eastAsia="Montserrat"/>
          <w:lang w:eastAsia="en-US"/>
        </w:rPr>
        <w:t xml:space="preserve">zeć niewielki wpływ na wskaźnik </w:t>
      </w:r>
      <w:r w:rsidRPr="001E646E">
        <w:rPr>
          <w:rFonts w:eastAsia="Montserrat"/>
          <w:lang w:eastAsia="en-US"/>
        </w:rPr>
        <w:t>„</w:t>
      </w:r>
      <w:r w:rsidRPr="00C35992">
        <w:rPr>
          <w:rFonts w:eastAsia="Montserrat"/>
          <w:i/>
          <w:lang w:eastAsia="en-US"/>
        </w:rPr>
        <w:t>Odsetek przedsiębiorstw przemysłowych, które współpracowały w zakresie działalności innowacyjne</w:t>
      </w:r>
      <w:r w:rsidRPr="001E646E">
        <w:rPr>
          <w:rFonts w:eastAsia="Montserrat"/>
          <w:lang w:eastAsia="en-US"/>
        </w:rPr>
        <w:t xml:space="preserve">j”. </w:t>
      </w:r>
      <w:r w:rsidR="00055260">
        <w:rPr>
          <w:rFonts w:eastAsia="Montserrat"/>
          <w:lang w:eastAsia="en-US"/>
        </w:rPr>
        <w:t>P</w:t>
      </w:r>
      <w:r w:rsidRPr="001E646E">
        <w:rPr>
          <w:rFonts w:eastAsia="Montserrat"/>
          <w:lang w:eastAsia="en-US"/>
        </w:rPr>
        <w:t xml:space="preserve">ostulowana do osiągnięcia w 2023r. </w:t>
      </w:r>
      <w:r w:rsidR="00055260">
        <w:rPr>
          <w:rFonts w:eastAsia="Montserrat"/>
          <w:lang w:eastAsia="en-US"/>
        </w:rPr>
        <w:t xml:space="preserve">wartość wskaźnika </w:t>
      </w:r>
      <w:r w:rsidRPr="001E646E">
        <w:rPr>
          <w:rFonts w:eastAsia="Montserrat"/>
          <w:lang w:eastAsia="en-US"/>
        </w:rPr>
        <w:t xml:space="preserve">wynosi 14,3%. Chociaż </w:t>
      </w:r>
      <w:r w:rsidR="00055260">
        <w:rPr>
          <w:rFonts w:eastAsia="Montserrat"/>
          <w:lang w:eastAsia="en-US"/>
        </w:rPr>
        <w:t xml:space="preserve">jego </w:t>
      </w:r>
      <w:r w:rsidRPr="001E646E">
        <w:rPr>
          <w:rFonts w:eastAsia="Montserrat"/>
          <w:lang w:eastAsia="en-US"/>
        </w:rPr>
        <w:t>r</w:t>
      </w:r>
      <w:r w:rsidR="00055260">
        <w:rPr>
          <w:rFonts w:eastAsia="Montserrat"/>
          <w:lang w:eastAsia="en-US"/>
        </w:rPr>
        <w:t>zeczywiste</w:t>
      </w:r>
      <w:r w:rsidRPr="001E646E">
        <w:rPr>
          <w:rFonts w:eastAsia="Montserrat"/>
          <w:lang w:eastAsia="en-US"/>
        </w:rPr>
        <w:t xml:space="preserve"> wartości charakteryzowały się znaczną fluktuacją </w:t>
      </w:r>
      <w:r w:rsidR="00055260">
        <w:rPr>
          <w:rFonts w:eastAsia="Montserrat"/>
          <w:lang w:eastAsia="en-US"/>
        </w:rPr>
        <w:t>na przestrzeni ostatnich lat-</w:t>
      </w:r>
      <w:r w:rsidRPr="001E646E">
        <w:rPr>
          <w:rFonts w:eastAsia="Montserrat"/>
          <w:lang w:eastAsia="en-US"/>
        </w:rPr>
        <w:t xml:space="preserve"> osiągając wartość niemal 8% w 2016 i 2018 r.</w:t>
      </w:r>
      <w:r w:rsidR="00055260">
        <w:rPr>
          <w:rFonts w:eastAsia="Montserrat"/>
          <w:lang w:eastAsia="en-US"/>
        </w:rPr>
        <w:t>-</w:t>
      </w:r>
      <w:r w:rsidRPr="001E646E">
        <w:rPr>
          <w:rFonts w:eastAsia="Montserrat"/>
          <w:lang w:eastAsia="en-US"/>
        </w:rPr>
        <w:t xml:space="preserve"> </w:t>
      </w:r>
      <w:r w:rsidR="00055260">
        <w:rPr>
          <w:rFonts w:eastAsia="Montserrat"/>
          <w:lang w:eastAsia="en-US"/>
        </w:rPr>
        <w:t>prognozy pokazały,</w:t>
      </w:r>
      <w:r w:rsidRPr="001E646E">
        <w:rPr>
          <w:rFonts w:eastAsia="Montserrat"/>
          <w:lang w:eastAsia="en-US"/>
        </w:rPr>
        <w:t xml:space="preserve"> że docelowo może on osiągnąć wartości </w:t>
      </w:r>
      <w:r w:rsidR="00055260">
        <w:rPr>
          <w:rFonts w:eastAsia="Montserrat"/>
          <w:lang w:eastAsia="en-US"/>
        </w:rPr>
        <w:t xml:space="preserve">w przedziale </w:t>
      </w:r>
      <w:r w:rsidRPr="001E646E">
        <w:rPr>
          <w:rFonts w:eastAsia="Montserrat"/>
          <w:lang w:eastAsia="en-US"/>
        </w:rPr>
        <w:t xml:space="preserve">od 5,1% do 6,7%.  </w:t>
      </w:r>
    </w:p>
    <w:p w14:paraId="15424BDE" w14:textId="2EF6F814" w:rsidR="001E646E" w:rsidRPr="00055260" w:rsidRDefault="001E646E" w:rsidP="003C22B8">
      <w:pPr>
        <w:pStyle w:val="Nagwek1"/>
      </w:pPr>
      <w:r w:rsidRPr="003810CD">
        <w:t xml:space="preserve">Działanie </w:t>
      </w:r>
      <w:r>
        <w:t>1</w:t>
      </w:r>
      <w:r w:rsidRPr="003810CD">
        <w:t>.</w:t>
      </w:r>
      <w:r>
        <w:t xml:space="preserve">4 </w:t>
      </w:r>
      <w:r w:rsidRPr="009319A4">
        <w:rPr>
          <w:rFonts w:eastAsia="Times New Roman" w:cs="Times New Roman"/>
          <w:color w:val="000000"/>
          <w:szCs w:val="24"/>
        </w:rPr>
        <w:t>Wsparcie ekosystemu innowacji</w:t>
      </w:r>
      <w:r w:rsidR="00055260">
        <w:br/>
      </w:r>
      <w:r w:rsidR="00055260" w:rsidRPr="001E646E">
        <w:rPr>
          <w:rFonts w:eastAsia="Montserrat"/>
          <w:b w:val="0"/>
          <w:sz w:val="22"/>
          <w:szCs w:val="22"/>
          <w:lang w:eastAsia="en-US"/>
        </w:rPr>
        <w:t xml:space="preserve">W wymiarze strategicznym </w:t>
      </w:r>
      <w:r w:rsidR="00055260" w:rsidRPr="00055260">
        <w:rPr>
          <w:rFonts w:eastAsia="Montserrat"/>
          <w:sz w:val="22"/>
          <w:szCs w:val="22"/>
          <w:lang w:eastAsia="en-US"/>
        </w:rPr>
        <w:t>dofinansowanie UE</w:t>
      </w:r>
      <w:r w:rsidR="00055260" w:rsidRPr="001E646E">
        <w:rPr>
          <w:rFonts w:eastAsia="Montserrat"/>
          <w:sz w:val="22"/>
          <w:szCs w:val="22"/>
          <w:lang w:eastAsia="en-US"/>
        </w:rPr>
        <w:t xml:space="preserve"> </w:t>
      </w:r>
      <w:r w:rsidR="00055260" w:rsidRPr="00055260">
        <w:rPr>
          <w:rFonts w:eastAsia="Montserrat"/>
          <w:sz w:val="22"/>
          <w:szCs w:val="22"/>
          <w:lang w:eastAsia="en-US"/>
        </w:rPr>
        <w:t>w wysokości 79 mln zł</w:t>
      </w:r>
      <w:r w:rsidR="00055260" w:rsidRPr="00055260">
        <w:rPr>
          <w:rFonts w:eastAsia="Montserrat"/>
          <w:b w:val="0"/>
          <w:sz w:val="22"/>
          <w:szCs w:val="22"/>
          <w:lang w:eastAsia="en-US"/>
        </w:rPr>
        <w:t xml:space="preserve"> </w:t>
      </w:r>
      <w:r w:rsidR="00055260" w:rsidRPr="001E646E">
        <w:rPr>
          <w:rFonts w:eastAsia="Montserrat"/>
          <w:b w:val="0"/>
          <w:sz w:val="22"/>
          <w:szCs w:val="22"/>
          <w:lang w:eastAsia="en-US"/>
        </w:rPr>
        <w:t>poniesione w związku z działani</w:t>
      </w:r>
      <w:r w:rsidR="00055260" w:rsidRPr="00055260">
        <w:rPr>
          <w:rFonts w:eastAsia="Montserrat"/>
          <w:b w:val="0"/>
          <w:sz w:val="22"/>
          <w:szCs w:val="22"/>
          <w:lang w:eastAsia="en-US"/>
        </w:rPr>
        <w:t>em</w:t>
      </w:r>
      <w:r w:rsidR="00055260">
        <w:rPr>
          <w:rFonts w:eastAsia="Montserrat"/>
          <w:b w:val="0"/>
          <w:sz w:val="22"/>
          <w:szCs w:val="22"/>
          <w:lang w:eastAsia="en-US"/>
        </w:rPr>
        <w:t xml:space="preserve"> miało przyczynić się do </w:t>
      </w:r>
      <w:r w:rsidRPr="001E646E">
        <w:rPr>
          <w:b w:val="0"/>
          <w:sz w:val="22"/>
          <w:szCs w:val="22"/>
        </w:rPr>
        <w:t>utrzyma</w:t>
      </w:r>
      <w:r w:rsidR="00055260">
        <w:rPr>
          <w:b w:val="0"/>
          <w:sz w:val="22"/>
          <w:szCs w:val="22"/>
        </w:rPr>
        <w:t xml:space="preserve">nia przez województwo śląskie pozycji </w:t>
      </w:r>
      <w:r w:rsidRPr="001E646E">
        <w:rPr>
          <w:b w:val="0"/>
          <w:i/>
          <w:sz w:val="22"/>
          <w:szCs w:val="22"/>
        </w:rPr>
        <w:t>Umiarkowanego Innowatora</w:t>
      </w:r>
      <w:r w:rsidRPr="001E646E">
        <w:rPr>
          <w:b w:val="0"/>
          <w:sz w:val="22"/>
          <w:szCs w:val="22"/>
        </w:rPr>
        <w:t xml:space="preserve"> w latach 2016-2023. </w:t>
      </w:r>
      <w:r w:rsidR="00055260">
        <w:rPr>
          <w:b w:val="0"/>
          <w:sz w:val="22"/>
          <w:szCs w:val="22"/>
        </w:rPr>
        <w:t>Z dużym prawdopodobieństwem</w:t>
      </w:r>
      <w:r w:rsidRPr="001E646E">
        <w:rPr>
          <w:b w:val="0"/>
          <w:sz w:val="22"/>
          <w:szCs w:val="22"/>
        </w:rPr>
        <w:t xml:space="preserve"> województwo śląskie w 2023 r. znajdować się będzie w grupie </w:t>
      </w:r>
      <w:r w:rsidRPr="001E646E">
        <w:rPr>
          <w:b w:val="0"/>
          <w:i/>
          <w:sz w:val="22"/>
          <w:szCs w:val="22"/>
        </w:rPr>
        <w:t>Wschodzących Innowatorów</w:t>
      </w:r>
      <w:r w:rsidRPr="001E646E">
        <w:rPr>
          <w:b w:val="0"/>
          <w:sz w:val="22"/>
          <w:szCs w:val="22"/>
        </w:rPr>
        <w:t xml:space="preserve">. Pomimo faktycznego wzrostu </w:t>
      </w:r>
      <w:r w:rsidRPr="001E646E">
        <w:rPr>
          <w:b w:val="0"/>
          <w:sz w:val="22"/>
          <w:szCs w:val="22"/>
        </w:rPr>
        <w:lastRenderedPageBreak/>
        <w:t xml:space="preserve">Regionalnego Indeksu Innowacyjności (RII) </w:t>
      </w:r>
      <w:r w:rsidR="00055260">
        <w:rPr>
          <w:b w:val="0"/>
          <w:sz w:val="22"/>
          <w:szCs w:val="22"/>
        </w:rPr>
        <w:t xml:space="preserve">Śląska </w:t>
      </w:r>
      <w:r w:rsidRPr="001E646E">
        <w:rPr>
          <w:b w:val="0"/>
          <w:sz w:val="22"/>
          <w:szCs w:val="22"/>
        </w:rPr>
        <w:t>od 2014 r., jego relatywna wartość, mierz</w:t>
      </w:r>
      <w:r w:rsidR="00055260">
        <w:rPr>
          <w:b w:val="0"/>
          <w:sz w:val="22"/>
          <w:szCs w:val="22"/>
        </w:rPr>
        <w:t xml:space="preserve">ona do średniej unijnej, spadła, co oznacza że </w:t>
      </w:r>
      <w:r w:rsidRPr="001E646E">
        <w:rPr>
          <w:b w:val="0"/>
          <w:sz w:val="22"/>
          <w:szCs w:val="22"/>
        </w:rPr>
        <w:t>inne</w:t>
      </w:r>
      <w:r w:rsidR="00055260">
        <w:rPr>
          <w:b w:val="0"/>
          <w:sz w:val="22"/>
          <w:szCs w:val="22"/>
        </w:rPr>
        <w:t xml:space="preserve"> regiony rozwijały się szybciej</w:t>
      </w:r>
      <w:r w:rsidRPr="001E646E">
        <w:rPr>
          <w:b w:val="0"/>
          <w:sz w:val="22"/>
          <w:szCs w:val="22"/>
        </w:rPr>
        <w:t>.</w:t>
      </w:r>
    </w:p>
    <w:p w14:paraId="2B653B2C" w14:textId="77777777" w:rsidR="001E646E" w:rsidRDefault="001E646E" w:rsidP="003C22B8">
      <w:pPr>
        <w:pStyle w:val="Nagwek1"/>
      </w:pPr>
    </w:p>
    <w:p w14:paraId="13B08D5B" w14:textId="77777777" w:rsidR="00055260" w:rsidRDefault="00055260" w:rsidP="00055260"/>
    <w:p w14:paraId="429022E5" w14:textId="77777777" w:rsidR="00066438" w:rsidRPr="00055260" w:rsidRDefault="00066438" w:rsidP="00055260"/>
    <w:p w14:paraId="4BF3296C" w14:textId="530FA4B6" w:rsidR="003C22B8" w:rsidRPr="00873E51" w:rsidRDefault="003C22B8" w:rsidP="00406032">
      <w:pPr>
        <w:pStyle w:val="Nagwek1"/>
        <w:spacing w:before="120"/>
      </w:pPr>
      <w:r w:rsidRPr="00873E51">
        <w:t>Ocena czynników i mechanizmów wdrażania</w:t>
      </w:r>
    </w:p>
    <w:p w14:paraId="1B3DDB68" w14:textId="5B84A6DC" w:rsidR="000B1DAB" w:rsidRDefault="00873E51" w:rsidP="00B43621">
      <w:r w:rsidRPr="00873E51">
        <w:t>System</w:t>
      </w:r>
      <w:r w:rsidR="003C22B8" w:rsidRPr="00873E51">
        <w:t xml:space="preserve"> wdrażania</w:t>
      </w:r>
      <w:r w:rsidRPr="00873E51">
        <w:t xml:space="preserve"> od strony formalnej tj. procedur i trybów naboru oraz zasad rozliczenia projektów</w:t>
      </w:r>
      <w:r w:rsidR="003C22B8" w:rsidRPr="00873E51">
        <w:t xml:space="preserve">, nie stanowił </w:t>
      </w:r>
      <w:r w:rsidRPr="00873E51">
        <w:t xml:space="preserve">zasadniczo </w:t>
      </w:r>
      <w:r w:rsidR="003C22B8" w:rsidRPr="00873E51">
        <w:t xml:space="preserve">bariery dla realizacji celów interwencji. </w:t>
      </w:r>
      <w:r w:rsidR="00D45767">
        <w:t>P</w:t>
      </w:r>
      <w:r w:rsidRPr="00873E51">
        <w:t>roblemem</w:t>
      </w:r>
      <w:r w:rsidR="000B1DAB">
        <w:t xml:space="preserve"> we wszystkich działaniach był</w:t>
      </w:r>
      <w:r w:rsidRPr="00873E51">
        <w:t xml:space="preserve"> czas </w:t>
      </w:r>
      <w:r w:rsidR="000B1DAB">
        <w:t>procedowania</w:t>
      </w:r>
      <w:r w:rsidRPr="00873E51">
        <w:t xml:space="preserve"> ze względu na dużą pracochłonność procesów, </w:t>
      </w:r>
      <w:r w:rsidRPr="0073114E">
        <w:rPr>
          <w:color w:val="000000" w:themeColor="text1"/>
        </w:rPr>
        <w:t>zwłaszcza proces</w:t>
      </w:r>
      <w:r w:rsidR="00E03796" w:rsidRPr="0073114E">
        <w:rPr>
          <w:color w:val="000000" w:themeColor="text1"/>
        </w:rPr>
        <w:t xml:space="preserve">u </w:t>
      </w:r>
      <w:r w:rsidRPr="0073114E">
        <w:rPr>
          <w:color w:val="000000" w:themeColor="text1"/>
        </w:rPr>
        <w:t>naboru projektów w kontekście działań skierowanych do sektora nauki, oraz proces</w:t>
      </w:r>
      <w:r w:rsidR="00E03796" w:rsidRPr="0073114E">
        <w:rPr>
          <w:color w:val="000000" w:themeColor="text1"/>
        </w:rPr>
        <w:t>u</w:t>
      </w:r>
      <w:r w:rsidRPr="0073114E">
        <w:rPr>
          <w:color w:val="000000" w:themeColor="text1"/>
        </w:rPr>
        <w:t xml:space="preserve"> </w:t>
      </w:r>
      <w:r w:rsidRPr="00873E51">
        <w:t xml:space="preserve">rozliczania i kontroli projektów- jeśli chodzi o </w:t>
      </w:r>
      <w:r w:rsidR="000F6155">
        <w:t xml:space="preserve">projekty dla </w:t>
      </w:r>
      <w:r w:rsidRPr="00873E51">
        <w:t xml:space="preserve">przedsiębiorców. </w:t>
      </w:r>
    </w:p>
    <w:p w14:paraId="7F8695BF" w14:textId="2C775B4D" w:rsidR="00873E51" w:rsidRPr="00873E51" w:rsidRDefault="000F6155" w:rsidP="00B43621">
      <w:r>
        <w:t xml:space="preserve">Wnioski o dofinansowanie </w:t>
      </w:r>
      <w:r w:rsidR="000B1DAB">
        <w:t xml:space="preserve">regionalnej infrastruktury badawczej dla </w:t>
      </w:r>
      <w:r>
        <w:t xml:space="preserve">sektora nauki mogłyby być mniej szczegółowe w zakresie parametrów technicznych </w:t>
      </w:r>
      <w:r w:rsidR="000B1DAB">
        <w:t>lub</w:t>
      </w:r>
      <w:r>
        <w:t xml:space="preserve"> dopuszczać większą elastyczność zamiany na urządzenia o lepszych parametrach niż wynika z opisu. </w:t>
      </w:r>
      <w:r w:rsidR="000B1DAB">
        <w:t>To istotne</w:t>
      </w:r>
      <w:r>
        <w:t xml:space="preserve"> w sytuacji długiego okresu, jaki mija </w:t>
      </w:r>
      <w:r w:rsidRPr="000F6155">
        <w:t>od momentu tworzenia założeń projektu (w związku z procedurą jego wpisania do Kontraktu Terytorialnego)</w:t>
      </w:r>
      <w:r w:rsidR="000B1DAB">
        <w:t>,</w:t>
      </w:r>
      <w:r w:rsidRPr="000F6155">
        <w:t xml:space="preserve"> a podpisaniem umowy o dofinansowanie</w:t>
      </w:r>
      <w:r>
        <w:t>.</w:t>
      </w:r>
      <w:r w:rsidR="000B1DAB">
        <w:t xml:space="preserve"> </w:t>
      </w:r>
    </w:p>
    <w:p w14:paraId="15E151C6" w14:textId="25E41A1F" w:rsidR="00B43621" w:rsidRDefault="00873E51" w:rsidP="00B43621">
      <w:r w:rsidRPr="00873E51">
        <w:t>W dz</w:t>
      </w:r>
      <w:r w:rsidR="000B1DAB">
        <w:t xml:space="preserve">iałaniach </w:t>
      </w:r>
      <w:r w:rsidRPr="00873E51">
        <w:t xml:space="preserve">skierowanych do przedsiębiorców przyspieszenie </w:t>
      </w:r>
      <w:r w:rsidR="000B1DAB">
        <w:t xml:space="preserve">rozliczania projektów </w:t>
      </w:r>
      <w:r w:rsidRPr="00873E51">
        <w:t>można by uzyskać</w:t>
      </w:r>
      <w:r w:rsidR="000B1DAB">
        <w:t>,</w:t>
      </w:r>
      <w:r w:rsidRPr="00873E51">
        <w:t xml:space="preserve"> stosując na większ</w:t>
      </w:r>
      <w:r w:rsidR="006B1458">
        <w:t>ą</w:t>
      </w:r>
      <w:r w:rsidRPr="00873E51">
        <w:t xml:space="preserve"> skalę stawki ryczałtowe w odniesieniu do kosztów pośrednich. Ta forma rozliczenia była już stosowana w </w:t>
      </w:r>
      <w:r w:rsidR="000B1DAB">
        <w:t>perspektywie 2014-2020</w:t>
      </w:r>
      <w:r w:rsidRPr="00873E51">
        <w:t xml:space="preserve"> i przyniosła pozytywne rezultaty.</w:t>
      </w:r>
    </w:p>
    <w:p w14:paraId="790273B5" w14:textId="5B25C76C" w:rsidR="009A6D82" w:rsidRDefault="000F6155" w:rsidP="00B43621">
      <w:r>
        <w:t xml:space="preserve">Czynniki zewnętrzne w </w:t>
      </w:r>
      <w:r w:rsidR="009A6D82">
        <w:t xml:space="preserve">niewielkim </w:t>
      </w:r>
      <w:r>
        <w:t xml:space="preserve">stopniu wpłynęły na realizację badanych projektów. Należały do nich pandemia COVID oraz </w:t>
      </w:r>
      <w:r w:rsidRPr="0073114E">
        <w:rPr>
          <w:color w:val="000000" w:themeColor="text1"/>
        </w:rPr>
        <w:t xml:space="preserve">rosnące koszty </w:t>
      </w:r>
      <w:r w:rsidR="000B1DAB" w:rsidRPr="0073114E">
        <w:rPr>
          <w:color w:val="000000" w:themeColor="text1"/>
        </w:rPr>
        <w:t xml:space="preserve">pracy, a także koszty </w:t>
      </w:r>
      <w:r w:rsidRPr="0073114E">
        <w:rPr>
          <w:color w:val="000000" w:themeColor="text1"/>
        </w:rPr>
        <w:t>materiałów i usług niezbędnych do realizacji projektów, zwłaszcza w branży informatycznej.</w:t>
      </w:r>
      <w:r w:rsidR="009A6D82" w:rsidRPr="0073114E">
        <w:rPr>
          <w:color w:val="000000" w:themeColor="text1"/>
        </w:rPr>
        <w:t xml:space="preserve"> </w:t>
      </w:r>
    </w:p>
    <w:p w14:paraId="7C90F5C6" w14:textId="0B0CE3F2" w:rsidR="000F6155" w:rsidRPr="00873E51" w:rsidRDefault="000F6155" w:rsidP="00B43621">
      <w:r>
        <w:t>Choć te czynniki jeszcze w relatywnie niewielkim stopniu oddziaływały na aktualnie realizowane projekty, ich wpływ w przyszłości</w:t>
      </w:r>
      <w:r w:rsidR="00B8232D" w:rsidRPr="00B8232D">
        <w:t xml:space="preserve"> będzie</w:t>
      </w:r>
      <w:r>
        <w:t xml:space="preserve"> potencjalnie bardziej znaczący</w:t>
      </w:r>
      <w:r w:rsidR="00B8232D">
        <w:t xml:space="preserve"> i może wpłynąć na realizację kolejnej perspektywy </w:t>
      </w:r>
      <w:r w:rsidR="006B1458">
        <w:t>f</w:t>
      </w:r>
      <w:r w:rsidR="00B8232D">
        <w:t>inansowej.</w:t>
      </w:r>
    </w:p>
    <w:p w14:paraId="689DF128" w14:textId="77777777" w:rsidR="008F4E49" w:rsidRDefault="008F4E49" w:rsidP="00406032">
      <w:pPr>
        <w:pStyle w:val="Nagwek1"/>
        <w:spacing w:before="120"/>
        <w:rPr>
          <w:color w:val="FF0000"/>
        </w:rPr>
      </w:pPr>
    </w:p>
    <w:p w14:paraId="236B0537" w14:textId="5CA9938A" w:rsidR="006D65A5" w:rsidRPr="0073114E" w:rsidRDefault="006D65A5" w:rsidP="00406032">
      <w:pPr>
        <w:pStyle w:val="Nagwek1"/>
        <w:spacing w:before="120"/>
        <w:rPr>
          <w:color w:val="000000" w:themeColor="text1"/>
        </w:rPr>
      </w:pPr>
      <w:r w:rsidRPr="004F5F77">
        <w:t>Ocena realizacji zasad horyzontalnych</w:t>
      </w:r>
    </w:p>
    <w:p w14:paraId="0135A3F0" w14:textId="401FF6C5" w:rsidR="00FC64C9" w:rsidRPr="00FC64C9" w:rsidRDefault="00FC64C9" w:rsidP="00FC64C9">
      <w:r w:rsidRPr="0073114E">
        <w:rPr>
          <w:color w:val="000000" w:themeColor="text1"/>
        </w:rPr>
        <w:t>W projektach realizowanych w ramach Osi I przeanalizowano sposób, w jaki</w:t>
      </w:r>
      <w:r w:rsidR="00E03796" w:rsidRPr="0073114E">
        <w:rPr>
          <w:color w:val="000000" w:themeColor="text1"/>
        </w:rPr>
        <w:t xml:space="preserve"> wdrażane</w:t>
      </w:r>
      <w:r w:rsidRPr="0073114E">
        <w:rPr>
          <w:color w:val="000000" w:themeColor="text1"/>
        </w:rPr>
        <w:t xml:space="preserve"> </w:t>
      </w:r>
      <w:r>
        <w:t>są polityki horyzontalne tj.:</w:t>
      </w:r>
      <w:r w:rsidRPr="00FC64C9">
        <w:t xml:space="preserve"> </w:t>
      </w:r>
      <w:r>
        <w:t>p</w:t>
      </w:r>
      <w:r w:rsidRPr="00FC64C9">
        <w:t>olityka zrównoważonego rozwoju</w:t>
      </w:r>
      <w:r>
        <w:t>, p</w:t>
      </w:r>
      <w:r w:rsidRPr="00FC64C9">
        <w:t>olityka równości szans kobiet i mężczyzn</w:t>
      </w:r>
      <w:r>
        <w:t xml:space="preserve"> oraz p</w:t>
      </w:r>
      <w:r w:rsidRPr="00FC64C9">
        <w:t>olityka równości szans i niedyskryminacji, w tym dostępności dla osób z niepełnosprawnościami</w:t>
      </w:r>
      <w:r>
        <w:t>. Na tej podstawie sformułowano następujące obserwacje:</w:t>
      </w:r>
    </w:p>
    <w:p w14:paraId="048AA0B5" w14:textId="62661FBF" w:rsidR="008F4E49" w:rsidRDefault="008F4E49" w:rsidP="00D167B4">
      <w:pPr>
        <w:pStyle w:val="Akapitzlist"/>
        <w:numPr>
          <w:ilvl w:val="0"/>
          <w:numId w:val="17"/>
        </w:numPr>
        <w:spacing w:line="276" w:lineRule="auto"/>
        <w:jc w:val="left"/>
        <w:rPr>
          <w:rFonts w:eastAsia="Calibri"/>
          <w:iCs/>
          <w:lang w:eastAsia="en-US"/>
        </w:rPr>
      </w:pPr>
      <w:r w:rsidRPr="008F4E49">
        <w:rPr>
          <w:rFonts w:eastAsia="Calibri"/>
          <w:iCs/>
          <w:lang w:eastAsia="en-US"/>
        </w:rPr>
        <w:t xml:space="preserve">Wymogi uwzględniania opisów realizacji polityk horyzontalnych rozbudziły świadomość </w:t>
      </w:r>
      <w:r w:rsidR="00FC64C9">
        <w:rPr>
          <w:rFonts w:eastAsia="Calibri"/>
          <w:iCs/>
          <w:lang w:eastAsia="en-US"/>
        </w:rPr>
        <w:t>projektodawców</w:t>
      </w:r>
      <w:r w:rsidRPr="008F4E49">
        <w:rPr>
          <w:rFonts w:eastAsia="Calibri"/>
          <w:iCs/>
          <w:lang w:eastAsia="en-US"/>
        </w:rPr>
        <w:t xml:space="preserve"> i stworzyły pole do refleksji na ten temat</w:t>
      </w:r>
      <w:r>
        <w:rPr>
          <w:rFonts w:eastAsia="Calibri"/>
          <w:iCs/>
          <w:lang w:eastAsia="en-US"/>
        </w:rPr>
        <w:t>.</w:t>
      </w:r>
    </w:p>
    <w:p w14:paraId="21667F68" w14:textId="02DCCC1D" w:rsidR="008F4E49" w:rsidRDefault="008F4E49" w:rsidP="00D167B4">
      <w:pPr>
        <w:pStyle w:val="Akapitzlist"/>
        <w:numPr>
          <w:ilvl w:val="0"/>
          <w:numId w:val="17"/>
        </w:numPr>
        <w:spacing w:before="0" w:after="160" w:line="276" w:lineRule="auto"/>
        <w:jc w:val="left"/>
        <w:rPr>
          <w:rFonts w:eastAsia="Calibri"/>
          <w:iCs/>
          <w:lang w:eastAsia="en-US"/>
        </w:rPr>
      </w:pPr>
      <w:r w:rsidRPr="008F4E49">
        <w:rPr>
          <w:rFonts w:eastAsia="Calibri"/>
          <w:iCs/>
          <w:lang w:eastAsia="en-US"/>
        </w:rPr>
        <w:lastRenderedPageBreak/>
        <w:t>Polityki horyzontalne znajdują różny p</w:t>
      </w:r>
      <w:r>
        <w:rPr>
          <w:rFonts w:eastAsia="Calibri"/>
          <w:iCs/>
          <w:lang w:eastAsia="en-US"/>
        </w:rPr>
        <w:t xml:space="preserve">oziom zastosowania w projektach </w:t>
      </w:r>
      <w:r w:rsidRPr="008F4E49">
        <w:rPr>
          <w:rFonts w:eastAsia="Calibri"/>
          <w:iCs/>
          <w:lang w:eastAsia="en-US"/>
        </w:rPr>
        <w:t>infrastrukturalnych</w:t>
      </w:r>
      <w:r w:rsidR="00FC64C9">
        <w:rPr>
          <w:rFonts w:eastAsia="Calibri"/>
          <w:iCs/>
          <w:lang w:eastAsia="en-US"/>
        </w:rPr>
        <w:t xml:space="preserve"> i nieinfrastrukturalnych, a także projektach </w:t>
      </w:r>
      <w:r w:rsidRPr="008F4E49">
        <w:rPr>
          <w:rFonts w:eastAsia="Calibri"/>
          <w:iCs/>
          <w:lang w:eastAsia="en-US"/>
        </w:rPr>
        <w:t>badawczych</w:t>
      </w:r>
      <w:r w:rsidR="00FC64C9">
        <w:rPr>
          <w:rFonts w:eastAsia="Calibri"/>
          <w:iCs/>
          <w:lang w:eastAsia="en-US"/>
        </w:rPr>
        <w:t xml:space="preserve"> i wdrożeniowych</w:t>
      </w:r>
      <w:r>
        <w:rPr>
          <w:rFonts w:eastAsia="Calibri"/>
          <w:iCs/>
          <w:lang w:eastAsia="en-US"/>
        </w:rPr>
        <w:t>.</w:t>
      </w:r>
    </w:p>
    <w:p w14:paraId="5E07330E" w14:textId="32CE36DC" w:rsidR="008F4E49" w:rsidRPr="008F4E49" w:rsidRDefault="008F4E49" w:rsidP="00D167B4">
      <w:pPr>
        <w:pStyle w:val="Akapitzlist"/>
        <w:numPr>
          <w:ilvl w:val="0"/>
          <w:numId w:val="17"/>
        </w:numPr>
        <w:spacing w:line="276" w:lineRule="auto"/>
        <w:jc w:val="left"/>
        <w:rPr>
          <w:rFonts w:eastAsia="Calibri"/>
          <w:iCs/>
          <w:lang w:eastAsia="en-US"/>
        </w:rPr>
      </w:pPr>
      <w:r w:rsidRPr="008F4E49">
        <w:rPr>
          <w:rFonts w:eastAsia="Calibri"/>
          <w:iCs/>
          <w:lang w:eastAsia="en-US"/>
        </w:rPr>
        <w:t xml:space="preserve">Polityki horyzontalne </w:t>
      </w:r>
      <w:r w:rsidR="00321182">
        <w:rPr>
          <w:rFonts w:eastAsia="Calibri"/>
          <w:iCs/>
          <w:lang w:eastAsia="en-US"/>
        </w:rPr>
        <w:t xml:space="preserve">najczęściej </w:t>
      </w:r>
      <w:r w:rsidRPr="008F4E49">
        <w:rPr>
          <w:rFonts w:eastAsia="Calibri"/>
          <w:iCs/>
          <w:lang w:eastAsia="en-US"/>
        </w:rPr>
        <w:t xml:space="preserve">wpisują się w codzienną działalność i praktyki </w:t>
      </w:r>
      <w:r w:rsidR="004F5F77">
        <w:rPr>
          <w:rFonts w:eastAsia="Calibri"/>
          <w:iCs/>
          <w:lang w:eastAsia="en-US"/>
        </w:rPr>
        <w:t>beneficjentów</w:t>
      </w:r>
      <w:r>
        <w:rPr>
          <w:rFonts w:eastAsia="Calibri"/>
          <w:iCs/>
          <w:lang w:eastAsia="en-US"/>
        </w:rPr>
        <w:t>.</w:t>
      </w:r>
    </w:p>
    <w:p w14:paraId="7B4A369F" w14:textId="7A80133E" w:rsidR="008F4E49" w:rsidRPr="008F4E49" w:rsidRDefault="008F4E49" w:rsidP="00D167B4">
      <w:pPr>
        <w:pStyle w:val="Akapitzlist"/>
        <w:numPr>
          <w:ilvl w:val="0"/>
          <w:numId w:val="17"/>
        </w:numPr>
        <w:spacing w:line="276" w:lineRule="auto"/>
        <w:jc w:val="left"/>
        <w:rPr>
          <w:rFonts w:eastAsia="Calibri"/>
          <w:iCs/>
          <w:lang w:eastAsia="en-US"/>
        </w:rPr>
      </w:pPr>
      <w:r w:rsidRPr="008F4E49">
        <w:rPr>
          <w:rFonts w:eastAsia="Calibri"/>
          <w:iCs/>
          <w:lang w:eastAsia="en-US"/>
        </w:rPr>
        <w:t xml:space="preserve">Polityki horyzontalne są </w:t>
      </w:r>
      <w:r w:rsidR="00FC64C9">
        <w:rPr>
          <w:rFonts w:eastAsia="Calibri"/>
          <w:iCs/>
          <w:lang w:eastAsia="en-US"/>
        </w:rPr>
        <w:t xml:space="preserve">obecnie </w:t>
      </w:r>
      <w:r w:rsidRPr="008F4E49">
        <w:rPr>
          <w:rFonts w:eastAsia="Calibri"/>
          <w:iCs/>
          <w:lang w:eastAsia="en-US"/>
        </w:rPr>
        <w:t xml:space="preserve">ważniejszym aspektem na etapie aplikowania </w:t>
      </w:r>
      <w:r w:rsidR="00FC64C9">
        <w:rPr>
          <w:rFonts w:eastAsia="Calibri"/>
          <w:iCs/>
          <w:lang w:eastAsia="en-US"/>
        </w:rPr>
        <w:t xml:space="preserve">o środki </w:t>
      </w:r>
      <w:r w:rsidRPr="008F4E49">
        <w:rPr>
          <w:rFonts w:eastAsia="Calibri"/>
          <w:iCs/>
          <w:lang w:eastAsia="en-US"/>
        </w:rPr>
        <w:t>niż na etapie realizacji projektu</w:t>
      </w:r>
    </w:p>
    <w:p w14:paraId="2B11A202" w14:textId="134E172E" w:rsidR="008F4E49" w:rsidRPr="008F4E49" w:rsidRDefault="008F4E49" w:rsidP="00D167B4">
      <w:pPr>
        <w:pStyle w:val="Akapitzlist"/>
        <w:numPr>
          <w:ilvl w:val="0"/>
          <w:numId w:val="17"/>
        </w:numPr>
        <w:spacing w:line="276" w:lineRule="auto"/>
        <w:jc w:val="left"/>
        <w:rPr>
          <w:rFonts w:eastAsia="Calibri"/>
          <w:iCs/>
          <w:lang w:eastAsia="en-US"/>
        </w:rPr>
      </w:pPr>
      <w:r w:rsidRPr="008F4E49">
        <w:rPr>
          <w:rFonts w:eastAsia="Calibri"/>
          <w:iCs/>
          <w:lang w:eastAsia="en-US"/>
        </w:rPr>
        <w:t xml:space="preserve">Najlepsze </w:t>
      </w:r>
      <w:r w:rsidR="00321182">
        <w:rPr>
          <w:rFonts w:eastAsia="Calibri"/>
          <w:iCs/>
          <w:lang w:eastAsia="en-US"/>
        </w:rPr>
        <w:t>praktyki</w:t>
      </w:r>
      <w:r w:rsidRPr="008F4E49">
        <w:rPr>
          <w:rFonts w:eastAsia="Calibri"/>
          <w:iCs/>
          <w:lang w:eastAsia="en-US"/>
        </w:rPr>
        <w:t xml:space="preserve"> w </w:t>
      </w:r>
      <w:r w:rsidR="00321182">
        <w:rPr>
          <w:rFonts w:eastAsia="Calibri"/>
          <w:iCs/>
          <w:lang w:eastAsia="en-US"/>
        </w:rPr>
        <w:t>zakresie wdrażania zasad horyzontalnych</w:t>
      </w:r>
      <w:r w:rsidRPr="008F4E49">
        <w:rPr>
          <w:rFonts w:eastAsia="Calibri"/>
          <w:iCs/>
          <w:lang w:eastAsia="en-US"/>
        </w:rPr>
        <w:t xml:space="preserve"> </w:t>
      </w:r>
      <w:r w:rsidR="00321182">
        <w:rPr>
          <w:rFonts w:eastAsia="Calibri"/>
          <w:iCs/>
          <w:lang w:eastAsia="en-US"/>
        </w:rPr>
        <w:t>demonstrują projekty,</w:t>
      </w:r>
      <w:r w:rsidRPr="008F4E49">
        <w:rPr>
          <w:rFonts w:eastAsia="Calibri"/>
          <w:iCs/>
          <w:lang w:eastAsia="en-US"/>
        </w:rPr>
        <w:t xml:space="preserve"> który</w:t>
      </w:r>
      <w:r w:rsidR="00321182">
        <w:rPr>
          <w:rFonts w:eastAsia="Calibri"/>
          <w:iCs/>
          <w:lang w:eastAsia="en-US"/>
        </w:rPr>
        <w:t>ch efekt</w:t>
      </w:r>
      <w:r w:rsidRPr="008F4E49">
        <w:rPr>
          <w:rFonts w:eastAsia="Calibri"/>
          <w:iCs/>
          <w:lang w:eastAsia="en-US"/>
        </w:rPr>
        <w:t xml:space="preserve"> w sposób istotny i trwały przyczynia się do poprawy sytuacji w zakresie polityki horyzontalnej lub grup docelowych, objętych tą polityką.</w:t>
      </w:r>
    </w:p>
    <w:p w14:paraId="08013FFB" w14:textId="47FF9347" w:rsidR="00FF2D1F" w:rsidRDefault="00FF2D1F" w:rsidP="00DE60A2">
      <w:pPr>
        <w:rPr>
          <w:color w:val="FF0000"/>
        </w:rPr>
      </w:pPr>
    </w:p>
    <w:p w14:paraId="6A00E0DD" w14:textId="77777777" w:rsidR="003A6AF1" w:rsidRDefault="003A6AF1" w:rsidP="003C22B8">
      <w:pPr>
        <w:pStyle w:val="Nagwek1"/>
      </w:pPr>
    </w:p>
    <w:p w14:paraId="7DDF04B8" w14:textId="77777777" w:rsidR="006D65A5" w:rsidRPr="004F5F77" w:rsidRDefault="006D65A5" w:rsidP="003C22B8">
      <w:pPr>
        <w:pStyle w:val="Nagwek1"/>
      </w:pPr>
      <w:r w:rsidRPr="004F5F77">
        <w:t>Kierunki wsparcia w perspektywie 2021-2027</w:t>
      </w:r>
    </w:p>
    <w:p w14:paraId="4DE4124D" w14:textId="77777777" w:rsidR="004F5F77" w:rsidRDefault="004F5F77" w:rsidP="008F4E49"/>
    <w:p w14:paraId="2970AE81" w14:textId="02509710" w:rsidR="00257627" w:rsidRPr="00257627" w:rsidRDefault="00257627" w:rsidP="008F4E49">
      <w:pPr>
        <w:rPr>
          <w:b/>
        </w:rPr>
      </w:pPr>
      <w:r w:rsidRPr="00257627">
        <w:rPr>
          <w:b/>
        </w:rPr>
        <w:t xml:space="preserve">Działanie 1.1 </w:t>
      </w:r>
    </w:p>
    <w:p w14:paraId="24157DDC" w14:textId="6DC5C28C" w:rsidR="008F4E49" w:rsidRPr="00560F6E" w:rsidRDefault="00560F6E" w:rsidP="00F97E78">
      <w:pPr>
        <w:pStyle w:val="Akapitzlist"/>
        <w:numPr>
          <w:ilvl w:val="0"/>
          <w:numId w:val="18"/>
        </w:numPr>
        <w:rPr>
          <w:b/>
        </w:rPr>
      </w:pPr>
      <w:r w:rsidRPr="00560F6E">
        <w:rPr>
          <w:b/>
        </w:rPr>
        <w:t xml:space="preserve">Obszar </w:t>
      </w:r>
      <w:r w:rsidR="004F5F77" w:rsidRPr="00560F6E">
        <w:rPr>
          <w:b/>
        </w:rPr>
        <w:t>wsparcia</w:t>
      </w:r>
    </w:p>
    <w:p w14:paraId="363E31E8" w14:textId="1BA64743" w:rsidR="004F5F77" w:rsidRDefault="000F40EB" w:rsidP="008F4E49">
      <w:r>
        <w:t xml:space="preserve">Beneficjenci biorący udział w badaniu potwierdzili </w:t>
      </w:r>
      <w:r w:rsidR="00560F6E">
        <w:t>nadal istniejące</w:t>
      </w:r>
      <w:r w:rsidR="004F5F77" w:rsidRPr="004F5F77">
        <w:t xml:space="preserve"> potrzeb</w:t>
      </w:r>
      <w:r w:rsidR="00560F6E">
        <w:t>y</w:t>
      </w:r>
      <w:r w:rsidR="004F5F77" w:rsidRPr="004F5F77">
        <w:t xml:space="preserve"> związan</w:t>
      </w:r>
      <w:r w:rsidR="00560F6E">
        <w:t>e</w:t>
      </w:r>
      <w:r w:rsidR="004F5F77" w:rsidRPr="004F5F77">
        <w:t xml:space="preserve"> z inwestycjami w infrastrukturę bad</w:t>
      </w:r>
      <w:r>
        <w:t xml:space="preserve">awczą. </w:t>
      </w:r>
      <w:r w:rsidR="00560F6E">
        <w:t xml:space="preserve">Mają one charakter stały w związku </w:t>
      </w:r>
      <w:r w:rsidR="004F5F77" w:rsidRPr="004F5F77">
        <w:t>z szybki</w:t>
      </w:r>
      <w:r w:rsidR="00560F6E">
        <w:t xml:space="preserve">m </w:t>
      </w:r>
      <w:r w:rsidR="004F5F77" w:rsidRPr="004F5F77">
        <w:t>postęp</w:t>
      </w:r>
      <w:r w:rsidR="00560F6E">
        <w:t>em</w:t>
      </w:r>
      <w:r w:rsidR="004F5F77" w:rsidRPr="004F5F77">
        <w:t xml:space="preserve"> technologiczn</w:t>
      </w:r>
      <w:r w:rsidR="00560F6E">
        <w:t>ym</w:t>
      </w:r>
      <w:r>
        <w:t>,</w:t>
      </w:r>
      <w:r w:rsidR="004F5F77" w:rsidRPr="004F5F77">
        <w:t xml:space="preserve"> </w:t>
      </w:r>
      <w:r w:rsidR="001D10BB">
        <w:t>który przekłada</w:t>
      </w:r>
      <w:r w:rsidR="00EB6AC8">
        <w:t xml:space="preserve"> się </w:t>
      </w:r>
      <w:r w:rsidR="004F5F77" w:rsidRPr="004F5F77">
        <w:t xml:space="preserve">na tempo </w:t>
      </w:r>
      <w:r w:rsidR="006B1458" w:rsidRPr="0073114E">
        <w:rPr>
          <w:color w:val="000000" w:themeColor="text1"/>
        </w:rPr>
        <w:t xml:space="preserve">starzenia się </w:t>
      </w:r>
      <w:r w:rsidR="004F5F77" w:rsidRPr="0073114E">
        <w:rPr>
          <w:color w:val="000000" w:themeColor="text1"/>
        </w:rPr>
        <w:t>aparatury</w:t>
      </w:r>
      <w:r w:rsidR="004F5F77" w:rsidRPr="004F5F77">
        <w:t>. Opinie te znajdują swoje odzwierciedlenie w danych ze statystyki publicznej</w:t>
      </w:r>
      <w:r>
        <w:t xml:space="preserve">. W 2019 r. </w:t>
      </w:r>
      <w:r w:rsidR="004F5F77" w:rsidRPr="004F5F77">
        <w:t>poziom zużycia aparatury badawczej w województwie śląskim wynosił 80,9%</w:t>
      </w:r>
      <w:r>
        <w:t>.</w:t>
      </w:r>
    </w:p>
    <w:p w14:paraId="5DFDB7FD" w14:textId="69501646" w:rsidR="00257627" w:rsidRPr="000F40EB" w:rsidRDefault="00251B46" w:rsidP="008F4E49">
      <w:r w:rsidRPr="000F40EB">
        <w:rPr>
          <w:rFonts w:eastAsia="Montserrat"/>
          <w:lang w:eastAsia="en-US"/>
        </w:rPr>
        <w:t xml:space="preserve">Nie stwierdzono potrzeby dokonywania znaczących modyfikacji w warunkach aplikowania lub realizacji projektów. </w:t>
      </w:r>
      <w:r w:rsidR="000F40EB">
        <w:rPr>
          <w:rFonts w:eastAsia="Montserrat"/>
          <w:lang w:eastAsia="en-US"/>
        </w:rPr>
        <w:t>Docelową</w:t>
      </w:r>
      <w:r w:rsidRPr="000F40EB">
        <w:rPr>
          <w:rFonts w:eastAsia="Montserrat"/>
          <w:lang w:eastAsia="en-US"/>
        </w:rPr>
        <w:t xml:space="preserve"> formą wsparcia powinna </w:t>
      </w:r>
      <w:r w:rsidR="00560F6E">
        <w:rPr>
          <w:rFonts w:eastAsia="Montserrat"/>
          <w:lang w:eastAsia="en-US"/>
        </w:rPr>
        <w:t>pozostać</w:t>
      </w:r>
      <w:r w:rsidR="000F40EB">
        <w:rPr>
          <w:rFonts w:eastAsia="Montserrat"/>
          <w:lang w:eastAsia="en-US"/>
        </w:rPr>
        <w:t xml:space="preserve"> </w:t>
      </w:r>
      <w:r w:rsidRPr="000F40EB">
        <w:rPr>
          <w:rFonts w:eastAsia="Montserrat"/>
          <w:lang w:eastAsia="en-US"/>
        </w:rPr>
        <w:t>dotacja</w:t>
      </w:r>
      <w:r w:rsidR="000F40EB">
        <w:rPr>
          <w:rFonts w:eastAsia="Montserrat"/>
          <w:lang w:eastAsia="en-US"/>
        </w:rPr>
        <w:t xml:space="preserve">, ponieważ </w:t>
      </w:r>
      <w:r w:rsidRPr="000F40EB">
        <w:rPr>
          <w:rFonts w:eastAsia="Montserrat"/>
          <w:lang w:eastAsia="en-US"/>
        </w:rPr>
        <w:t>przychody generowane przez projekty nie pokry</w:t>
      </w:r>
      <w:r w:rsidR="00EB6AC8">
        <w:rPr>
          <w:rFonts w:eastAsia="Montserrat"/>
          <w:lang w:eastAsia="en-US"/>
        </w:rPr>
        <w:t xml:space="preserve">wają </w:t>
      </w:r>
      <w:r w:rsidRPr="000F40EB">
        <w:rPr>
          <w:rFonts w:eastAsia="Montserrat"/>
          <w:lang w:eastAsia="en-US"/>
        </w:rPr>
        <w:t>ich kosztów.</w:t>
      </w:r>
      <w:r w:rsidR="00257627" w:rsidRPr="000F40EB">
        <w:rPr>
          <w:rFonts w:eastAsia="Montserrat"/>
          <w:lang w:eastAsia="en-US"/>
        </w:rPr>
        <w:t xml:space="preserve"> </w:t>
      </w:r>
      <w:r w:rsidR="00EB6AC8">
        <w:rPr>
          <w:rFonts w:eastAsia="Montserrat"/>
          <w:lang w:eastAsia="en-US"/>
        </w:rPr>
        <w:t>W badaniu n</w:t>
      </w:r>
      <w:r w:rsidR="00257627" w:rsidRPr="000F40EB">
        <w:rPr>
          <w:rFonts w:eastAsia="Montserrat"/>
          <w:lang w:eastAsia="en-US"/>
        </w:rPr>
        <w:t>ie zidentyfikowano nowych obszarów wsparcia.</w:t>
      </w:r>
    </w:p>
    <w:p w14:paraId="00F93713" w14:textId="77777777" w:rsidR="00F97E78" w:rsidRDefault="00F97E78" w:rsidP="008F4E49"/>
    <w:p w14:paraId="7079EC0F" w14:textId="23F173EE" w:rsidR="00321182" w:rsidRPr="0073114E" w:rsidRDefault="00251B46" w:rsidP="00F97E78">
      <w:pPr>
        <w:pStyle w:val="Akapitzlist"/>
        <w:numPr>
          <w:ilvl w:val="0"/>
          <w:numId w:val="18"/>
        </w:numPr>
        <w:rPr>
          <w:b/>
          <w:color w:val="000000" w:themeColor="text1"/>
        </w:rPr>
      </w:pPr>
      <w:r w:rsidRPr="0073114E">
        <w:rPr>
          <w:b/>
          <w:color w:val="000000" w:themeColor="text1"/>
        </w:rPr>
        <w:t xml:space="preserve">Potencjał beneficjentów </w:t>
      </w:r>
    </w:p>
    <w:p w14:paraId="72F08A3F" w14:textId="7CD54572" w:rsidR="004F5F77" w:rsidRPr="0073114E" w:rsidRDefault="00C35992" w:rsidP="008F4E49">
      <w:pPr>
        <w:rPr>
          <w:color w:val="000000" w:themeColor="text1"/>
        </w:rPr>
      </w:pPr>
      <w:r w:rsidRPr="0073114E">
        <w:rPr>
          <w:color w:val="000000" w:themeColor="text1"/>
        </w:rPr>
        <w:t>Śląskie u</w:t>
      </w:r>
      <w:r w:rsidR="00EB6AC8" w:rsidRPr="0073114E">
        <w:rPr>
          <w:color w:val="000000" w:themeColor="text1"/>
        </w:rPr>
        <w:t>czelnie wyższe oraz jednostki badawcze</w:t>
      </w:r>
      <w:r w:rsidR="00F97E78" w:rsidRPr="0073114E">
        <w:rPr>
          <w:color w:val="000000" w:themeColor="text1"/>
        </w:rPr>
        <w:t xml:space="preserve"> posiadają </w:t>
      </w:r>
      <w:r w:rsidR="00EB6AC8" w:rsidRPr="0073114E">
        <w:rPr>
          <w:color w:val="000000" w:themeColor="text1"/>
        </w:rPr>
        <w:t>odpowiedni potencjał finansowy</w:t>
      </w:r>
      <w:r w:rsidR="00F97E78" w:rsidRPr="0073114E">
        <w:rPr>
          <w:color w:val="000000" w:themeColor="text1"/>
        </w:rPr>
        <w:t xml:space="preserve">, badawczy oraz organizacyjny </w:t>
      </w:r>
      <w:r w:rsidR="00F47F14" w:rsidRPr="0073114E">
        <w:rPr>
          <w:color w:val="000000" w:themeColor="text1"/>
        </w:rPr>
        <w:t>a</w:t>
      </w:r>
      <w:r w:rsidR="00F97E78" w:rsidRPr="0073114E">
        <w:rPr>
          <w:color w:val="000000" w:themeColor="text1"/>
        </w:rPr>
        <w:t xml:space="preserve">by </w:t>
      </w:r>
      <w:r w:rsidR="00F47F14" w:rsidRPr="0073114E">
        <w:rPr>
          <w:color w:val="000000" w:themeColor="text1"/>
        </w:rPr>
        <w:t>kontynuować realizację inwestycji w infrastrukturę badawczą w kolejnej perspektywie finansowej</w:t>
      </w:r>
      <w:r w:rsidR="00F97E78" w:rsidRPr="0073114E">
        <w:rPr>
          <w:color w:val="000000" w:themeColor="text1"/>
        </w:rPr>
        <w:t>.</w:t>
      </w:r>
      <w:r w:rsidR="00257627" w:rsidRPr="0073114E">
        <w:rPr>
          <w:color w:val="000000" w:themeColor="text1"/>
        </w:rPr>
        <w:t xml:space="preserve"> </w:t>
      </w:r>
      <w:r w:rsidR="00815209" w:rsidRPr="0073114E">
        <w:rPr>
          <w:color w:val="000000" w:themeColor="text1"/>
        </w:rPr>
        <w:t xml:space="preserve">Pozytywnie kształtuje się także potencjał przedsiębiorców, którzy mogliby korzystać z infrastruktury badawczej w części gospodarczej projektów. </w:t>
      </w:r>
      <w:r w:rsidR="001D10BB" w:rsidRPr="0073114E">
        <w:rPr>
          <w:color w:val="000000" w:themeColor="text1"/>
        </w:rPr>
        <w:t xml:space="preserve">W opinii </w:t>
      </w:r>
      <w:r w:rsidR="00EB6AC8" w:rsidRPr="0073114E">
        <w:rPr>
          <w:color w:val="000000" w:themeColor="text1"/>
        </w:rPr>
        <w:t>ekspertów, zaintere</w:t>
      </w:r>
      <w:r w:rsidR="00815209" w:rsidRPr="0073114E">
        <w:rPr>
          <w:color w:val="000000" w:themeColor="text1"/>
        </w:rPr>
        <w:t xml:space="preserve">sowanie śląskich firm </w:t>
      </w:r>
      <w:r w:rsidR="00EB6AC8" w:rsidRPr="0073114E">
        <w:rPr>
          <w:color w:val="000000" w:themeColor="text1"/>
        </w:rPr>
        <w:t>współpracą z sektorem nauki</w:t>
      </w:r>
      <w:r w:rsidR="001D10BB" w:rsidRPr="0073114E">
        <w:rPr>
          <w:color w:val="000000" w:themeColor="text1"/>
        </w:rPr>
        <w:t xml:space="preserve"> </w:t>
      </w:r>
      <w:r w:rsidR="00257627" w:rsidRPr="0073114E">
        <w:rPr>
          <w:color w:val="000000" w:themeColor="text1"/>
        </w:rPr>
        <w:t>systematycznie rośnie</w:t>
      </w:r>
      <w:r w:rsidR="00EB6AC8" w:rsidRPr="0073114E">
        <w:rPr>
          <w:color w:val="000000" w:themeColor="text1"/>
        </w:rPr>
        <w:t xml:space="preserve">. Najczęściej dotyczy ono </w:t>
      </w:r>
      <w:r w:rsidR="00257627" w:rsidRPr="0073114E">
        <w:rPr>
          <w:color w:val="000000" w:themeColor="text1"/>
        </w:rPr>
        <w:t xml:space="preserve">wspólnej realizacji projektów badawczych </w:t>
      </w:r>
      <w:r w:rsidR="001D10BB" w:rsidRPr="0073114E">
        <w:rPr>
          <w:color w:val="000000" w:themeColor="text1"/>
        </w:rPr>
        <w:t>lub</w:t>
      </w:r>
      <w:r w:rsidR="00257627" w:rsidRPr="0073114E">
        <w:rPr>
          <w:color w:val="000000" w:themeColor="text1"/>
        </w:rPr>
        <w:t xml:space="preserve"> korzystania z usług sektora nauki na z</w:t>
      </w:r>
      <w:r w:rsidR="00EB6AC8" w:rsidRPr="0073114E">
        <w:rPr>
          <w:color w:val="000000" w:themeColor="text1"/>
        </w:rPr>
        <w:t xml:space="preserve">asadzie podwykonawstwa. Wzrost </w:t>
      </w:r>
      <w:r w:rsidR="00257627" w:rsidRPr="0073114E">
        <w:rPr>
          <w:color w:val="000000" w:themeColor="text1"/>
        </w:rPr>
        <w:t xml:space="preserve">zainteresowania </w:t>
      </w:r>
      <w:r w:rsidR="00EB6AC8" w:rsidRPr="0073114E">
        <w:rPr>
          <w:color w:val="000000" w:themeColor="text1"/>
        </w:rPr>
        <w:t xml:space="preserve">współpracą </w:t>
      </w:r>
      <w:r w:rsidR="00257627" w:rsidRPr="0073114E">
        <w:rPr>
          <w:color w:val="000000" w:themeColor="text1"/>
        </w:rPr>
        <w:t xml:space="preserve">należy przypisywać stale rozwijanemu potencjałowi sektora nauki do kooperacji z sektorem gospodarki w zakresie infrastrukturalnym, kadrowym </w:t>
      </w:r>
      <w:r w:rsidR="001D10BB" w:rsidRPr="0073114E">
        <w:rPr>
          <w:color w:val="000000" w:themeColor="text1"/>
        </w:rPr>
        <w:t>i</w:t>
      </w:r>
      <w:r w:rsidR="00257627" w:rsidRPr="0073114E">
        <w:rPr>
          <w:color w:val="000000" w:themeColor="text1"/>
        </w:rPr>
        <w:t xml:space="preserve"> proceduralnym.</w:t>
      </w:r>
    </w:p>
    <w:p w14:paraId="17E6A1C3" w14:textId="77777777" w:rsidR="001D10BB" w:rsidRDefault="001D10BB" w:rsidP="008F4E49"/>
    <w:p w14:paraId="2F704C95" w14:textId="53AEFDD3" w:rsidR="00257627" w:rsidRPr="00576CE9" w:rsidRDefault="00576CE9" w:rsidP="00257627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I</w:t>
      </w:r>
      <w:r w:rsidR="00257627" w:rsidRPr="00576CE9">
        <w:rPr>
          <w:b/>
        </w:rPr>
        <w:t xml:space="preserve">mplikacje dla systemu monitorowania </w:t>
      </w:r>
    </w:p>
    <w:p w14:paraId="10F47C3D" w14:textId="5D45B87F" w:rsidR="004F5F77" w:rsidRDefault="00573931" w:rsidP="008F4E49">
      <w:r>
        <w:t>W</w:t>
      </w:r>
      <w:r w:rsidR="00257627" w:rsidRPr="00257627">
        <w:t xml:space="preserve">skaźniki </w:t>
      </w:r>
      <w:r>
        <w:t xml:space="preserve">systemu monitorowania na lata 2021-2027 powinny </w:t>
      </w:r>
      <w:r w:rsidR="001D10BB">
        <w:t>umożliwiać</w:t>
      </w:r>
      <w:r w:rsidR="00257627" w:rsidRPr="00257627">
        <w:t xml:space="preserve"> </w:t>
      </w:r>
      <w:r w:rsidR="001D10BB">
        <w:t xml:space="preserve">identyfikację </w:t>
      </w:r>
      <w:r w:rsidR="00257627" w:rsidRPr="00257627">
        <w:t>zarówno gospodarczych jak i niegospodarczych efektów projektów.</w:t>
      </w:r>
      <w:r w:rsidR="00257627" w:rsidRPr="00257627">
        <w:rPr>
          <w:sz w:val="24"/>
          <w:szCs w:val="24"/>
          <w:lang w:eastAsia="en-US"/>
        </w:rPr>
        <w:t xml:space="preserve"> </w:t>
      </w:r>
      <w:r w:rsidR="00257627" w:rsidRPr="00257627">
        <w:t>Jeżeli chodzi o efekty niegospodarcze</w:t>
      </w:r>
      <w:r w:rsidR="00CC1EC3">
        <w:t xml:space="preserve">, warto zaproponować dodatkowy </w:t>
      </w:r>
      <w:r w:rsidR="00257627" w:rsidRPr="00257627">
        <w:t xml:space="preserve">wskaźnik </w:t>
      </w:r>
      <w:r w:rsidR="00CC1EC3">
        <w:t>odnoszący się do</w:t>
      </w:r>
      <w:r w:rsidR="00257627" w:rsidRPr="00257627">
        <w:t xml:space="preserve"> wartości projektów B+R realizowany</w:t>
      </w:r>
      <w:r w:rsidR="00CC1EC3">
        <w:t>ch dzięki wspartej infrastrukturze. Zadaniem tego wskaźnika byłoby monitorowanie</w:t>
      </w:r>
      <w:r w:rsidR="00257627" w:rsidRPr="00257627">
        <w:t xml:space="preserve"> w jakim zakres</w:t>
      </w:r>
      <w:r w:rsidR="00CC1EC3">
        <w:t>ie przedmiot projektu służy celom dydaktycznym</w:t>
      </w:r>
      <w:r w:rsidR="00257627">
        <w:t>.</w:t>
      </w:r>
    </w:p>
    <w:p w14:paraId="0E4EF27A" w14:textId="77777777" w:rsidR="004F5F77" w:rsidRDefault="004F5F77" w:rsidP="008F4E49"/>
    <w:p w14:paraId="042BCA7C" w14:textId="5B925F90" w:rsidR="00257627" w:rsidRPr="00257627" w:rsidRDefault="00257627" w:rsidP="00257627">
      <w:pPr>
        <w:rPr>
          <w:b/>
        </w:rPr>
      </w:pPr>
      <w:r w:rsidRPr="00257627">
        <w:rPr>
          <w:b/>
        </w:rPr>
        <w:t>Działanie 1.</w:t>
      </w:r>
      <w:r>
        <w:rPr>
          <w:b/>
        </w:rPr>
        <w:t>2</w:t>
      </w:r>
    </w:p>
    <w:p w14:paraId="1F03B816" w14:textId="3BD713AF" w:rsidR="00257627" w:rsidRPr="00560F6E" w:rsidRDefault="00560F6E" w:rsidP="00257627">
      <w:pPr>
        <w:pStyle w:val="Akapitzlist"/>
        <w:numPr>
          <w:ilvl w:val="0"/>
          <w:numId w:val="18"/>
        </w:numPr>
        <w:rPr>
          <w:b/>
        </w:rPr>
      </w:pPr>
      <w:r w:rsidRPr="00560F6E">
        <w:rPr>
          <w:b/>
        </w:rPr>
        <w:t>Obszar</w:t>
      </w:r>
      <w:r w:rsidR="00257627" w:rsidRPr="00560F6E">
        <w:rPr>
          <w:b/>
        </w:rPr>
        <w:t xml:space="preserve"> wsparcia</w:t>
      </w:r>
      <w:r w:rsidR="000F40EB" w:rsidRPr="00560F6E">
        <w:rPr>
          <w:b/>
        </w:rPr>
        <w:t xml:space="preserve"> </w:t>
      </w:r>
    </w:p>
    <w:p w14:paraId="6DC0207A" w14:textId="29A6F20E" w:rsidR="000F40EB" w:rsidRPr="000F40EB" w:rsidRDefault="000F40EB" w:rsidP="00257627">
      <w:pPr>
        <w:rPr>
          <w:color w:val="000000"/>
          <w:lang w:eastAsia="en-US"/>
        </w:rPr>
      </w:pPr>
      <w:r>
        <w:t xml:space="preserve">Zgodnie z </w:t>
      </w:r>
      <w:r w:rsidR="00257627" w:rsidRPr="000F40EB">
        <w:t>Regionaln</w:t>
      </w:r>
      <w:r>
        <w:t>ą</w:t>
      </w:r>
      <w:r w:rsidR="00257627" w:rsidRPr="000F40EB">
        <w:t xml:space="preserve"> Strategi</w:t>
      </w:r>
      <w:r>
        <w:t>ą</w:t>
      </w:r>
      <w:r w:rsidR="00257627" w:rsidRPr="000F40EB">
        <w:t xml:space="preserve"> Innowacji Województwa Śląskiego 2030 </w:t>
      </w:r>
      <w:r w:rsidRPr="000F40EB">
        <w:t>problem</w:t>
      </w:r>
      <w:r>
        <w:t>y</w:t>
      </w:r>
      <w:r w:rsidRPr="000F40EB">
        <w:t xml:space="preserve"> w zakresie poziomu innowacyjności regionu </w:t>
      </w:r>
      <w:r>
        <w:t>pozostają aktualne</w:t>
      </w:r>
      <w:r w:rsidR="00257627" w:rsidRPr="000F40EB">
        <w:t>.</w:t>
      </w:r>
      <w:r w:rsidR="00257627" w:rsidRPr="000F40E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Uzasadnia to potrzebę kontynuowania wsparcia skierowanego do śląskich przedsiębiorstw w celu wzmocnienia ich potencjału do prowadzenia prac B+R. Projekty </w:t>
      </w:r>
      <w:r w:rsidR="000C7975">
        <w:rPr>
          <w:color w:val="000000"/>
          <w:lang w:eastAsia="en-US"/>
        </w:rPr>
        <w:t>współfinans</w:t>
      </w:r>
      <w:r>
        <w:rPr>
          <w:color w:val="000000"/>
          <w:lang w:eastAsia="en-US"/>
        </w:rPr>
        <w:t xml:space="preserve">ujące </w:t>
      </w:r>
      <w:r w:rsidRPr="000F40EB">
        <w:t xml:space="preserve">infrastrukturę B+R </w:t>
      </w:r>
      <w:r>
        <w:t>w przedsiębiorstwach</w:t>
      </w:r>
      <w:r w:rsidR="000C7975">
        <w:t xml:space="preserve"> powinny w dalszym ciągu posiadać mniejszy priorytet finansowy w kontekście zidentyfikowanych potrzeb. Takie inwestycje </w:t>
      </w:r>
      <w:r w:rsidRPr="000F40EB">
        <w:t>są specyficzne raczej dla dojrzałych przedsiębiorstw, poszukujących w sposób ciągły nowych produktów i usług. Działalność badawczo-rozwojowa generuj</w:t>
      </w:r>
      <w:r w:rsidR="000C7975">
        <w:t>e wysokie</w:t>
      </w:r>
      <w:r w:rsidRPr="000F40EB">
        <w:t xml:space="preserve"> koszty. Jedynie przedsiębiorstwa, które świadczą usługi badawczo-rozwojowe mogą prognozować jakiekolwiek przychody z tego tytułu</w:t>
      </w:r>
      <w:r w:rsidR="000C7975">
        <w:t>.</w:t>
      </w:r>
    </w:p>
    <w:p w14:paraId="5FA126E8" w14:textId="77777777" w:rsidR="00EB6AC8" w:rsidRDefault="000C7975" w:rsidP="00EB6AC8">
      <w:pPr>
        <w:rPr>
          <w:rFonts w:eastAsia="Montserrat"/>
          <w:lang w:eastAsia="en-US"/>
        </w:rPr>
      </w:pPr>
      <w:r>
        <w:t>Z kolei w</w:t>
      </w:r>
      <w:r w:rsidR="00257627" w:rsidRPr="000F40EB">
        <w:t>spieranie projektów B+R</w:t>
      </w:r>
      <w:r w:rsidR="00D167B4">
        <w:t>,</w:t>
      </w:r>
      <w:r>
        <w:t xml:space="preserve"> prowadzonych przez śląskie</w:t>
      </w:r>
      <w:r w:rsidR="00D167B4">
        <w:t xml:space="preserve"> firmy,</w:t>
      </w:r>
      <w:r>
        <w:t xml:space="preserve"> powinno pozostać podstawowym kierunkiem wsparcia. </w:t>
      </w:r>
      <w:r w:rsidR="00D167B4">
        <w:t>Wzrost</w:t>
      </w:r>
      <w:r w:rsidR="00257627" w:rsidRPr="000F40EB">
        <w:t xml:space="preserve"> efektywnoś</w:t>
      </w:r>
      <w:r w:rsidR="00D167B4">
        <w:t>ci</w:t>
      </w:r>
      <w:r w:rsidR="00257627" w:rsidRPr="000F40EB">
        <w:t xml:space="preserve"> wydatkowan</w:t>
      </w:r>
      <w:r w:rsidR="00D167B4">
        <w:t>ych</w:t>
      </w:r>
      <w:r w:rsidR="00257627" w:rsidRPr="000F40EB">
        <w:t xml:space="preserve"> środków </w:t>
      </w:r>
      <w:r w:rsidR="00D167B4">
        <w:t xml:space="preserve">można uzyskać </w:t>
      </w:r>
      <w:r w:rsidR="00257627" w:rsidRPr="000F40EB">
        <w:t xml:space="preserve">poprzez zmniejszanie </w:t>
      </w:r>
      <w:r w:rsidR="00D167B4">
        <w:t xml:space="preserve">intensywności wsparcia </w:t>
      </w:r>
      <w:r w:rsidR="00257627" w:rsidRPr="000F40EB">
        <w:t>dla tych projektów B+R, które obarczone są mniejszym ryzykie</w:t>
      </w:r>
      <w:r>
        <w:t xml:space="preserve">m technicznym lub </w:t>
      </w:r>
      <w:r w:rsidR="00257627" w:rsidRPr="000F40EB">
        <w:t>technologicznym. Ich sukces w dużej mierze zależy od tego</w:t>
      </w:r>
      <w:r w:rsidR="00D167B4">
        <w:t>,</w:t>
      </w:r>
      <w:r w:rsidR="00257627" w:rsidRPr="000F40EB">
        <w:t xml:space="preserve"> czy mają </w:t>
      </w:r>
      <w:r w:rsidR="00D167B4">
        <w:t xml:space="preserve">odpowiedni </w:t>
      </w:r>
      <w:r w:rsidR="00257627" w:rsidRPr="000F40EB">
        <w:t xml:space="preserve">potencjał rynkowy, a ryzyko w tym obszarze </w:t>
      </w:r>
      <w:r w:rsidR="00D167B4">
        <w:t>powinno zostać</w:t>
      </w:r>
      <w:r w:rsidR="00257627" w:rsidRPr="000F40EB">
        <w:t xml:space="preserve"> zminimalizowa</w:t>
      </w:r>
      <w:r w:rsidR="00D167B4">
        <w:t>ne</w:t>
      </w:r>
      <w:r w:rsidR="00257627" w:rsidRPr="000F40EB">
        <w:t xml:space="preserve"> poprzez odpowiednio wczesną weryfikację zapotrzebowania </w:t>
      </w:r>
      <w:r w:rsidR="00D167B4">
        <w:t xml:space="preserve">rynkowego </w:t>
      </w:r>
      <w:r w:rsidR="00257627" w:rsidRPr="000F40EB">
        <w:t>na produkt</w:t>
      </w:r>
      <w:r w:rsidR="00D167B4">
        <w:t xml:space="preserve"> lub </w:t>
      </w:r>
      <w:r w:rsidR="00257627" w:rsidRPr="000F40EB">
        <w:t>usługę</w:t>
      </w:r>
      <w:r w:rsidR="000F40EB" w:rsidRPr="000F40EB">
        <w:t>.</w:t>
      </w:r>
      <w:r w:rsidR="00D167B4">
        <w:t xml:space="preserve"> </w:t>
      </w:r>
      <w:r w:rsidR="00EB6AC8">
        <w:rPr>
          <w:rFonts w:eastAsia="Montserrat"/>
          <w:lang w:eastAsia="en-US"/>
        </w:rPr>
        <w:t>W badaniu n</w:t>
      </w:r>
      <w:r w:rsidR="00EB6AC8" w:rsidRPr="000F40EB">
        <w:rPr>
          <w:rFonts w:eastAsia="Montserrat"/>
          <w:lang w:eastAsia="en-US"/>
        </w:rPr>
        <w:t>ie zidentyfikowano nowych obszarów wsparcia.</w:t>
      </w:r>
    </w:p>
    <w:p w14:paraId="3D21CC1E" w14:textId="77777777" w:rsidR="00D45767" w:rsidRPr="000F40EB" w:rsidRDefault="00D45767" w:rsidP="00EB6AC8"/>
    <w:p w14:paraId="625C8920" w14:textId="69EDB762" w:rsidR="00257627" w:rsidRPr="00EB6AC8" w:rsidRDefault="00257627" w:rsidP="00EB6AC8">
      <w:pPr>
        <w:pStyle w:val="Akapitzlist"/>
        <w:numPr>
          <w:ilvl w:val="0"/>
          <w:numId w:val="18"/>
        </w:numPr>
        <w:rPr>
          <w:b/>
        </w:rPr>
      </w:pPr>
      <w:r w:rsidRPr="00EB6AC8">
        <w:rPr>
          <w:b/>
        </w:rPr>
        <w:t xml:space="preserve">Potencjał beneficjentów </w:t>
      </w:r>
    </w:p>
    <w:p w14:paraId="51F1C77B" w14:textId="7EE1E09D" w:rsidR="00257627" w:rsidRDefault="0016445F" w:rsidP="00257627">
      <w:r>
        <w:t>P</w:t>
      </w:r>
      <w:r w:rsidR="000F40EB" w:rsidRPr="000F40EB">
        <w:t xml:space="preserve">rzedsiębiorcy, </w:t>
      </w:r>
      <w:r>
        <w:t>będący beneficjentami projektów w zakresie B+R zarówno na poziomie regionalnym jak i krajowym, zadeklarowali w badaniu,</w:t>
      </w:r>
      <w:r w:rsidR="000F40EB" w:rsidRPr="000F40EB">
        <w:t xml:space="preserve"> że w latach 2021-2027 pl</w:t>
      </w:r>
      <w:r w:rsidR="000F40EB" w:rsidRPr="0073114E">
        <w:rPr>
          <w:color w:val="000000" w:themeColor="text1"/>
        </w:rPr>
        <w:t>anują realizację projektów B+R (80%</w:t>
      </w:r>
      <w:r w:rsidR="00660D81" w:rsidRPr="0073114E">
        <w:rPr>
          <w:color w:val="000000" w:themeColor="text1"/>
        </w:rPr>
        <w:t xml:space="preserve"> firm</w:t>
      </w:r>
      <w:r w:rsidR="000F40EB" w:rsidRPr="0073114E">
        <w:rPr>
          <w:color w:val="000000" w:themeColor="text1"/>
        </w:rPr>
        <w:t>) oraz wdrożenia ich wyników (70%</w:t>
      </w:r>
      <w:r w:rsidR="00660D81" w:rsidRPr="0073114E">
        <w:rPr>
          <w:color w:val="000000" w:themeColor="text1"/>
        </w:rPr>
        <w:t xml:space="preserve"> firm</w:t>
      </w:r>
      <w:r w:rsidR="000F40EB" w:rsidRPr="0073114E">
        <w:rPr>
          <w:color w:val="000000" w:themeColor="text1"/>
        </w:rPr>
        <w:t xml:space="preserve">). </w:t>
      </w:r>
      <w:r w:rsidRPr="0073114E">
        <w:rPr>
          <w:color w:val="000000" w:themeColor="text1"/>
        </w:rPr>
        <w:t>Je</w:t>
      </w:r>
      <w:r>
        <w:t xml:space="preserve">dnocześnie beneficjenci RPO WSL w większym stopniu </w:t>
      </w:r>
      <w:r w:rsidR="000F40EB" w:rsidRPr="000F40EB">
        <w:t>potrzebują wsparcia w zakresie rozwoju kompetencji kadr B+R oraz marketingu wyników B+R.</w:t>
      </w:r>
      <w:r w:rsidR="00774B43" w:rsidRPr="00774B43">
        <w:t xml:space="preserve"> </w:t>
      </w:r>
      <w:r w:rsidR="00774B43">
        <w:t xml:space="preserve">Śląscy przedsiębiorcy preferowali najczęściej mniejsze projekty o zakresie od 100 do 500 tys. zł lub większe, o wartości od 1-5 mln zł. </w:t>
      </w:r>
    </w:p>
    <w:p w14:paraId="68D1BA27" w14:textId="253831F1" w:rsidR="00257627" w:rsidRPr="00560F6E" w:rsidRDefault="0016445F" w:rsidP="00257627">
      <w:pPr>
        <w:pStyle w:val="Akapitzlist"/>
        <w:numPr>
          <w:ilvl w:val="0"/>
          <w:numId w:val="18"/>
        </w:numPr>
        <w:rPr>
          <w:b/>
        </w:rPr>
      </w:pPr>
      <w:r w:rsidRPr="00560F6E">
        <w:rPr>
          <w:b/>
        </w:rPr>
        <w:t>I</w:t>
      </w:r>
      <w:r w:rsidR="00257627" w:rsidRPr="00560F6E">
        <w:rPr>
          <w:b/>
        </w:rPr>
        <w:t>mplik</w:t>
      </w:r>
      <w:r w:rsidR="00560F6E" w:rsidRPr="00560F6E">
        <w:rPr>
          <w:b/>
        </w:rPr>
        <w:t xml:space="preserve">acje dla systemu monitorowania </w:t>
      </w:r>
    </w:p>
    <w:p w14:paraId="1FE78535" w14:textId="55468A03" w:rsidR="004F5F77" w:rsidRDefault="00560F6E" w:rsidP="00560F6E">
      <w:r>
        <w:t xml:space="preserve">Wskaźniki jakie przewidywane w programie FE SL 2021-2027 dotyczą liczby przedsiębiorstw objętych wsparciem oraz liczby miejsc pracy utworzonych we </w:t>
      </w:r>
      <w:r>
        <w:lastRenderedPageBreak/>
        <w:t>wspieranych podmiotach. Drugi ze wskaźników można przypisać projektom w zakresie wspierania infrastruktury B+R w przypadku</w:t>
      </w:r>
      <w:r w:rsidRPr="00560F6E">
        <w:t xml:space="preserve"> utworzenia działu B+R w przedsiębiorstwie</w:t>
      </w:r>
      <w:r w:rsidR="00CC1EC3">
        <w:t>,</w:t>
      </w:r>
      <w:r w:rsidRPr="00560F6E">
        <w:t xml:space="preserve"> </w:t>
      </w:r>
      <w:r w:rsidR="00CC1EC3">
        <w:t>a także</w:t>
      </w:r>
      <w:r w:rsidRPr="00560F6E">
        <w:t xml:space="preserve"> zakupu </w:t>
      </w:r>
      <w:r>
        <w:t>infrastruktury w związku z nowymi produktami lub usługami. Warto monitorować wpływ projektów B+R na sytuację przedsiębiorcy w rok po zakończeniu realizacji projektu.</w:t>
      </w:r>
    </w:p>
    <w:p w14:paraId="0FEE0DEF" w14:textId="77777777" w:rsidR="004F5F77" w:rsidRDefault="004F5F77" w:rsidP="008F4E49"/>
    <w:p w14:paraId="7045FC51" w14:textId="77777777" w:rsidR="00521489" w:rsidRDefault="00521489" w:rsidP="008F4E49"/>
    <w:p w14:paraId="19691053" w14:textId="45424193" w:rsidR="00257627" w:rsidRPr="00257627" w:rsidRDefault="00257627" w:rsidP="00257627">
      <w:pPr>
        <w:rPr>
          <w:b/>
        </w:rPr>
      </w:pPr>
      <w:r w:rsidRPr="00257627">
        <w:rPr>
          <w:b/>
        </w:rPr>
        <w:t>Działanie 1.</w:t>
      </w:r>
      <w:r>
        <w:rPr>
          <w:b/>
        </w:rPr>
        <w:t>3</w:t>
      </w:r>
      <w:r w:rsidRPr="00257627">
        <w:rPr>
          <w:b/>
        </w:rPr>
        <w:t xml:space="preserve"> </w:t>
      </w:r>
    </w:p>
    <w:p w14:paraId="6EA4010A" w14:textId="1E37670F" w:rsidR="00257627" w:rsidRPr="00521489" w:rsidRDefault="00573931" w:rsidP="00257627">
      <w:pPr>
        <w:pStyle w:val="Akapitzlist"/>
        <w:numPr>
          <w:ilvl w:val="0"/>
          <w:numId w:val="18"/>
        </w:numPr>
        <w:rPr>
          <w:b/>
        </w:rPr>
      </w:pPr>
      <w:r w:rsidRPr="00521489">
        <w:rPr>
          <w:b/>
        </w:rPr>
        <w:t>Obszar</w:t>
      </w:r>
      <w:r w:rsidR="00257627" w:rsidRPr="00521489">
        <w:rPr>
          <w:b/>
        </w:rPr>
        <w:t xml:space="preserve"> wsparcia</w:t>
      </w:r>
    </w:p>
    <w:p w14:paraId="44C7BDCA" w14:textId="2ABAF904" w:rsidR="00257627" w:rsidRPr="0016445F" w:rsidRDefault="00573931" w:rsidP="00257627">
      <w:r w:rsidRPr="00573931">
        <w:t xml:space="preserve">Dalsze rozwijanie ekosystemu innowacji województwa jest jednym z kierunków polityki rozwoju wskazanym w </w:t>
      </w:r>
      <w:r w:rsidR="00CC1EC3" w:rsidRPr="00CC1EC3">
        <w:t>Regionaln</w:t>
      </w:r>
      <w:r w:rsidR="00CC1EC3">
        <w:t>ej</w:t>
      </w:r>
      <w:r w:rsidR="00CC1EC3" w:rsidRPr="00CC1EC3">
        <w:t xml:space="preserve"> Strategi</w:t>
      </w:r>
      <w:r w:rsidR="00CC1EC3">
        <w:t>i</w:t>
      </w:r>
      <w:r w:rsidR="00CC1EC3" w:rsidRPr="00CC1EC3">
        <w:t xml:space="preserve"> Innowacji Województwa Śląskiego 2030</w:t>
      </w:r>
      <w:r w:rsidR="00CC1EC3">
        <w:t>.</w:t>
      </w:r>
      <w:r w:rsidR="00CC1EC3" w:rsidRPr="00CC1EC3">
        <w:t xml:space="preserve"> </w:t>
      </w:r>
      <w:r w:rsidRPr="00573931">
        <w:t xml:space="preserve">Poza rolą animacyjną i sieciującą, jaką mają dalej pełnić Obserwatoria Specjalistyczne, wskazana została również ważna rola dla Instytucji Otoczenia Biznesu takich jak parki naukowo-technologiczne, inkubatory czy akceleratory. Zadaniem tych instytucji ma być wspomaganie firm w rozwoju poprzez dostarczanie im wiedzy, infrastruktury, środków finansowych oraz sieci kontaktów. Aby IOB mogły pełnić taką rolę konieczne jest systemowe podejście do budowania sieci otoczenia biznesu o wysokim potencjale oraz promowanie ich oferty wśród przedsiębiorców. </w:t>
      </w:r>
    </w:p>
    <w:p w14:paraId="5890FD14" w14:textId="77777777" w:rsidR="00257627" w:rsidRDefault="00257627" w:rsidP="00257627"/>
    <w:p w14:paraId="4D49D583" w14:textId="77777777" w:rsidR="00257627" w:rsidRPr="00521489" w:rsidRDefault="00257627" w:rsidP="00257627">
      <w:pPr>
        <w:pStyle w:val="Akapitzlist"/>
        <w:numPr>
          <w:ilvl w:val="0"/>
          <w:numId w:val="18"/>
        </w:numPr>
        <w:rPr>
          <w:b/>
        </w:rPr>
      </w:pPr>
      <w:r w:rsidRPr="00521489">
        <w:rPr>
          <w:b/>
        </w:rPr>
        <w:t xml:space="preserve">Potencjał beneficjentów </w:t>
      </w:r>
    </w:p>
    <w:p w14:paraId="636E04C1" w14:textId="044D83F6" w:rsidR="00257627" w:rsidRDefault="00CC1EC3" w:rsidP="00CC1EC3">
      <w:r>
        <w:t xml:space="preserve">W planowaniu wsparcia dla </w:t>
      </w:r>
      <w:r w:rsidRPr="00CC1EC3">
        <w:t>Instytucji Otoczenia Biznesu</w:t>
      </w:r>
      <w:r>
        <w:t xml:space="preserve"> warto skupić się na budowaniu ich potencjału do świadczenia wysoko wyspecjalizowanych usług dla innowacyjnych przedsiębiorców, które faktycznie przyczyniają się do wzrostu innowacyjności firm i regionu. Należy inwestować w rozwój tych instytucji, które mogą pochwalić się pewnymi doświadczeniami w dostarczaniu tego typu usług i wokół których można zbudować sieci zaawansowanych technologicznie firm. Wyodrębnienie instytucji otoczenia biznesu o wysokim potencjale powinno odbywać się w drodze akredytacji nadawanej przez Samorząd Województwa, która mogłaby być znakiem jakości - drogowskazem dla przedsiębiorców i jednocześnie stanowić kryterium wejścia dla ubiega</w:t>
      </w:r>
      <w:r w:rsidR="006B1458">
        <w:t>nia</w:t>
      </w:r>
      <w:r>
        <w:t xml:space="preserve"> się o wsparcie.</w:t>
      </w:r>
    </w:p>
    <w:p w14:paraId="1E3B23F5" w14:textId="77777777" w:rsidR="00CC1EC3" w:rsidRDefault="00CC1EC3" w:rsidP="00CC1EC3"/>
    <w:p w14:paraId="0F8922DD" w14:textId="77777777" w:rsidR="00521489" w:rsidRPr="00560F6E" w:rsidRDefault="00521489" w:rsidP="00521489">
      <w:pPr>
        <w:pStyle w:val="Akapitzlist"/>
        <w:numPr>
          <w:ilvl w:val="0"/>
          <w:numId w:val="18"/>
        </w:numPr>
        <w:rPr>
          <w:b/>
        </w:rPr>
      </w:pPr>
      <w:r w:rsidRPr="00560F6E">
        <w:rPr>
          <w:b/>
        </w:rPr>
        <w:t xml:space="preserve">Implikacje dla systemu monitorowania </w:t>
      </w:r>
    </w:p>
    <w:p w14:paraId="3A994ED5" w14:textId="33786FAB" w:rsidR="004F5F77" w:rsidRDefault="008E64E0" w:rsidP="008F4E49">
      <w:r w:rsidRPr="008E64E0">
        <w:t xml:space="preserve">Katalog </w:t>
      </w:r>
      <w:r>
        <w:t xml:space="preserve">aktualnie obowiązujących </w:t>
      </w:r>
      <w:r w:rsidRPr="008E64E0">
        <w:t>wskaźników jest trafny, ale wydaj</w:t>
      </w:r>
      <w:r>
        <w:t>e się być niewyczerpujący. Jeśli celem działania jest</w:t>
      </w:r>
      <w:r w:rsidRPr="008E64E0">
        <w:t xml:space="preserve"> kompleksow</w:t>
      </w:r>
      <w:r>
        <w:t>e</w:t>
      </w:r>
      <w:r w:rsidRPr="008E64E0">
        <w:t xml:space="preserve"> wsp</w:t>
      </w:r>
      <w:r>
        <w:t>arcie</w:t>
      </w:r>
      <w:r w:rsidRPr="008E64E0">
        <w:t xml:space="preserve"> ekosystem</w:t>
      </w:r>
      <w:r>
        <w:t>u</w:t>
      </w:r>
      <w:r w:rsidRPr="008E64E0">
        <w:t xml:space="preserve"> innowacji, </w:t>
      </w:r>
      <w:r>
        <w:t>a jego</w:t>
      </w:r>
      <w:r w:rsidRPr="008E64E0">
        <w:t xml:space="preserve"> elementem rozw</w:t>
      </w:r>
      <w:r>
        <w:t>ój</w:t>
      </w:r>
      <w:r w:rsidRPr="008E64E0">
        <w:t xml:space="preserve"> potencjału aktorów</w:t>
      </w:r>
      <w:r w:rsidR="008561E4">
        <w:t xml:space="preserve"> ekosystemu</w:t>
      </w:r>
      <w:r>
        <w:t>,</w:t>
      </w:r>
      <w:r w:rsidRPr="008E64E0">
        <w:t xml:space="preserve"> warto aby katalog wskaźników był dostosowany do weryfik</w:t>
      </w:r>
      <w:r w:rsidR="008561E4">
        <w:t>acji</w:t>
      </w:r>
      <w:r w:rsidRPr="008E64E0">
        <w:t xml:space="preserve"> jakości tego potencjału. </w:t>
      </w:r>
      <w:r w:rsidR="008561E4">
        <w:t>Rekomenduje się dodanie</w:t>
      </w:r>
      <w:r w:rsidRPr="008E64E0">
        <w:t xml:space="preserve"> wskaźnik</w:t>
      </w:r>
      <w:r w:rsidR="008561E4">
        <w:t xml:space="preserve">ów </w:t>
      </w:r>
      <w:r w:rsidRPr="008E64E0">
        <w:t>rezultatu</w:t>
      </w:r>
      <w:r w:rsidR="008561E4">
        <w:t>, które</w:t>
      </w:r>
      <w:r w:rsidRPr="008E64E0">
        <w:t xml:space="preserve"> </w:t>
      </w:r>
      <w:r w:rsidR="008561E4">
        <w:t xml:space="preserve">będą </w:t>
      </w:r>
      <w:r w:rsidRPr="008E64E0">
        <w:t>odzwierciedla</w:t>
      </w:r>
      <w:r w:rsidR="008561E4">
        <w:t>ć</w:t>
      </w:r>
      <w:r w:rsidRPr="008E64E0">
        <w:t xml:space="preserve"> efekty wyświadczonych usług </w:t>
      </w:r>
      <w:r w:rsidR="008561E4">
        <w:t>na rzecz</w:t>
      </w:r>
      <w:r w:rsidRPr="008E64E0">
        <w:t xml:space="preserve"> odbiorców </w:t>
      </w:r>
      <w:r w:rsidR="008561E4">
        <w:t>tj.</w:t>
      </w:r>
      <w:r w:rsidRPr="008E64E0">
        <w:t xml:space="preserve"> </w:t>
      </w:r>
      <w:r w:rsidR="008561E4">
        <w:t>„</w:t>
      </w:r>
      <w:r w:rsidRPr="008E64E0">
        <w:t>Liczba wprowadzonych innowacji w przedsiębiorstwach</w:t>
      </w:r>
      <w:r w:rsidR="008561E4">
        <w:t>”</w:t>
      </w:r>
      <w:r w:rsidRPr="008E64E0">
        <w:t>.</w:t>
      </w:r>
    </w:p>
    <w:p w14:paraId="1061F85C" w14:textId="77777777" w:rsidR="00321182" w:rsidRDefault="00321182" w:rsidP="008F4E49"/>
    <w:p w14:paraId="03CFAE08" w14:textId="77777777" w:rsidR="00560F6E" w:rsidRDefault="00560F6E" w:rsidP="008F4E49"/>
    <w:p w14:paraId="5529D805" w14:textId="153000DE" w:rsidR="00170607" w:rsidRPr="00257627" w:rsidRDefault="00170607" w:rsidP="00170607">
      <w:pPr>
        <w:rPr>
          <w:b/>
        </w:rPr>
      </w:pPr>
      <w:r w:rsidRPr="00257627">
        <w:rPr>
          <w:b/>
        </w:rPr>
        <w:t>Działanie 1.</w:t>
      </w:r>
      <w:r>
        <w:rPr>
          <w:b/>
        </w:rPr>
        <w:t>4</w:t>
      </w:r>
      <w:r w:rsidRPr="00257627">
        <w:rPr>
          <w:b/>
        </w:rPr>
        <w:t xml:space="preserve"> </w:t>
      </w:r>
    </w:p>
    <w:p w14:paraId="41512390" w14:textId="77777777" w:rsidR="00170607" w:rsidRPr="00521489" w:rsidRDefault="00170607" w:rsidP="00170607">
      <w:pPr>
        <w:pStyle w:val="Akapitzlist"/>
        <w:numPr>
          <w:ilvl w:val="0"/>
          <w:numId w:val="18"/>
        </w:numPr>
        <w:rPr>
          <w:b/>
        </w:rPr>
      </w:pPr>
      <w:r w:rsidRPr="00521489">
        <w:rPr>
          <w:b/>
        </w:rPr>
        <w:t>Obszar wsparcia</w:t>
      </w:r>
    </w:p>
    <w:p w14:paraId="01A7FE0E" w14:textId="168AEC2C" w:rsidR="00AE3753" w:rsidRPr="00AE3753" w:rsidRDefault="00AE3753" w:rsidP="00AE3753">
      <w:r w:rsidRPr="00AE3753">
        <w:t>Regionalna Strategia Innowacji Województwa Śląskiego 2030 wskazuje na konieczność kontynu</w:t>
      </w:r>
      <w:r>
        <w:t>acji</w:t>
      </w:r>
      <w:r w:rsidRPr="00AE3753">
        <w:t xml:space="preserve"> </w:t>
      </w:r>
      <w:r>
        <w:t xml:space="preserve">wpierania </w:t>
      </w:r>
      <w:r w:rsidRPr="00AE3753">
        <w:t xml:space="preserve">regionalnego ekosystemu innowacji poprzez dalszą działalność Sieci Regionalnych Obserwatoriów Specjalistycznych (SO RIS) i animowanie procesów przedsiębiorczego odkrywania, sieciowania i działań brokerskich w obrębie inteligentnych specjalizacji. </w:t>
      </w:r>
      <w:r>
        <w:t>P</w:t>
      </w:r>
      <w:r w:rsidRPr="00AE3753">
        <w:t>rzewiduje także wspieranie inicjatyw promujących zakładanie i rozwój firm technologicznych. Istotną rolę w tym procesie przypisuje się parkom naukowo-technologicznym, inkubatorom, akceleratorom i spółkom celowym oraz ich sieci</w:t>
      </w:r>
      <w:r>
        <w:t>om</w:t>
      </w:r>
      <w:r w:rsidRPr="00AE3753">
        <w:t xml:space="preserve">, które w sposób kompleksowy zapewniają młodym firmom dostęp do infrastruktury, wiedzy, kapitału oraz kontaktów naukowo-badawczych i biznesowych. </w:t>
      </w:r>
      <w:r>
        <w:t>Działania te będą zatem bazowały na rezultatach projektów zrealizowanych w perspektywie 2014-2020.</w:t>
      </w:r>
    </w:p>
    <w:p w14:paraId="60994DA6" w14:textId="77777777" w:rsidR="00170607" w:rsidRDefault="00170607" w:rsidP="00170607"/>
    <w:p w14:paraId="7444B457" w14:textId="288BC945" w:rsidR="00170607" w:rsidRPr="00521489" w:rsidRDefault="00AE3753" w:rsidP="00170607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>P</w:t>
      </w:r>
      <w:r w:rsidR="00170607" w:rsidRPr="00521489">
        <w:rPr>
          <w:b/>
        </w:rPr>
        <w:t xml:space="preserve">otencjał beneficjentów </w:t>
      </w:r>
    </w:p>
    <w:p w14:paraId="1E09242D" w14:textId="384A31A2" w:rsidR="00170607" w:rsidRDefault="007F1166" w:rsidP="00170607">
      <w:r w:rsidRPr="007F1166">
        <w:t xml:space="preserve">Działania wspierające rozwój instytucjonalny ekosystemu innowacji województwa śląskiego </w:t>
      </w:r>
      <w:r w:rsidR="0034008C">
        <w:t>są</w:t>
      </w:r>
      <w:r w:rsidRPr="007F1166">
        <w:t xml:space="preserve"> skuteczne, efektywne i trwałe</w:t>
      </w:r>
      <w:r w:rsidR="0034008C">
        <w:t xml:space="preserve">, także dlatego że </w:t>
      </w:r>
      <w:r w:rsidRPr="007F1166">
        <w:t xml:space="preserve">stanowią </w:t>
      </w:r>
      <w:r w:rsidR="0034008C">
        <w:t>element</w:t>
      </w:r>
      <w:r w:rsidRPr="007F1166">
        <w:t xml:space="preserve"> </w:t>
      </w:r>
      <w:r w:rsidR="0053396D" w:rsidRPr="0053396D">
        <w:t xml:space="preserve">polityki innowacyjnej </w:t>
      </w:r>
      <w:r w:rsidRPr="007F1166">
        <w:t xml:space="preserve">konsekwentnie </w:t>
      </w:r>
      <w:r w:rsidR="0034008C" w:rsidRPr="0034008C">
        <w:t>realizowanej</w:t>
      </w:r>
      <w:r w:rsidR="0053396D">
        <w:t xml:space="preserve"> na przestrzeni lat</w:t>
      </w:r>
      <w:r w:rsidR="0034008C">
        <w:t xml:space="preserve">. Polega ona na </w:t>
      </w:r>
      <w:r w:rsidRPr="007F1166">
        <w:t xml:space="preserve">włączeniu </w:t>
      </w:r>
      <w:r w:rsidR="0034008C" w:rsidRPr="0034008C">
        <w:t>najważniejszych podmiotów</w:t>
      </w:r>
      <w:r w:rsidR="0053396D">
        <w:t xml:space="preserve"> w</w:t>
      </w:r>
      <w:r w:rsidR="0034008C" w:rsidRPr="0034008C">
        <w:t xml:space="preserve"> </w:t>
      </w:r>
      <w:r w:rsidR="0053396D">
        <w:t xml:space="preserve">regionie </w:t>
      </w:r>
      <w:r w:rsidR="0034008C">
        <w:t>na zasadach partnerskich</w:t>
      </w:r>
      <w:r w:rsidRPr="007F1166">
        <w:t xml:space="preserve">. </w:t>
      </w:r>
      <w:r w:rsidR="004E29BA" w:rsidRPr="004E29BA">
        <w:t xml:space="preserve">Konkretne rozwiązania, potrzeby i możliwości obu stron konsultowane są w ramach wielu działających forów współpracy, takich jak Śląska Rada Innowacji, Komitet Sterujący RIS, Komitet Monitorujący programu operacyjnego i innych. </w:t>
      </w:r>
      <w:r w:rsidRPr="007F1166">
        <w:t xml:space="preserve">Dzięki temu partnerzy Samorządu Województwa są przygotowani do podjęcia nowych wyzwań, które będą kontynuacją inwestycji w obecnej i poprzednich edycjach regionalnego programu operacyjnego. </w:t>
      </w:r>
      <w:r w:rsidR="0053396D">
        <w:t>W nowej perspektywie p</w:t>
      </w:r>
      <w:r w:rsidRPr="007F1166">
        <w:t xml:space="preserve">rzewiduje się dalszy rozwój instytucjonalny sieci SO RIS. </w:t>
      </w:r>
    </w:p>
    <w:p w14:paraId="0887A7EF" w14:textId="77777777" w:rsidR="00B7062C" w:rsidRDefault="00B7062C" w:rsidP="00170607"/>
    <w:p w14:paraId="5FBDA691" w14:textId="77777777" w:rsidR="00170607" w:rsidRPr="00560F6E" w:rsidRDefault="00170607" w:rsidP="00170607">
      <w:pPr>
        <w:pStyle w:val="Akapitzlist"/>
        <w:numPr>
          <w:ilvl w:val="0"/>
          <w:numId w:val="18"/>
        </w:numPr>
        <w:rPr>
          <w:b/>
        </w:rPr>
      </w:pPr>
      <w:r w:rsidRPr="00560F6E">
        <w:rPr>
          <w:b/>
        </w:rPr>
        <w:t xml:space="preserve">Implikacje dla systemu monitorowania </w:t>
      </w:r>
    </w:p>
    <w:p w14:paraId="30BA6899" w14:textId="42E3CC4F" w:rsidR="00B7062C" w:rsidRPr="001A1C1F" w:rsidRDefault="00B7062C" w:rsidP="00B7062C">
      <w:pPr>
        <w:pStyle w:val="Nagwek1"/>
        <w:rPr>
          <w:b w:val="0"/>
          <w:bCs w:val="0"/>
          <w:sz w:val="22"/>
          <w:szCs w:val="22"/>
        </w:rPr>
      </w:pPr>
      <w:r w:rsidRPr="001A1C1F">
        <w:rPr>
          <w:b w:val="0"/>
          <w:bCs w:val="0"/>
          <w:sz w:val="22"/>
          <w:szCs w:val="22"/>
        </w:rPr>
        <w:t>Działani</w:t>
      </w:r>
      <w:r w:rsidR="001A1C1F" w:rsidRPr="001A1C1F">
        <w:rPr>
          <w:b w:val="0"/>
          <w:bCs w:val="0"/>
          <w:sz w:val="22"/>
          <w:szCs w:val="22"/>
        </w:rPr>
        <w:t>e</w:t>
      </w:r>
      <w:r w:rsidRPr="001A1C1F">
        <w:rPr>
          <w:b w:val="0"/>
          <w:bCs w:val="0"/>
          <w:sz w:val="22"/>
          <w:szCs w:val="22"/>
        </w:rPr>
        <w:t xml:space="preserve"> 1.4 będ</w:t>
      </w:r>
      <w:r w:rsidR="001A1C1F" w:rsidRPr="001A1C1F">
        <w:rPr>
          <w:b w:val="0"/>
          <w:bCs w:val="0"/>
          <w:sz w:val="22"/>
          <w:szCs w:val="22"/>
        </w:rPr>
        <w:t>zie</w:t>
      </w:r>
      <w:r w:rsidRPr="001A1C1F">
        <w:rPr>
          <w:b w:val="0"/>
          <w:bCs w:val="0"/>
          <w:sz w:val="22"/>
          <w:szCs w:val="22"/>
        </w:rPr>
        <w:t xml:space="preserve"> kontynuowane w </w:t>
      </w:r>
      <w:r w:rsidR="001A1C1F" w:rsidRPr="001A1C1F">
        <w:rPr>
          <w:b w:val="0"/>
          <w:bCs w:val="0"/>
          <w:sz w:val="22"/>
          <w:szCs w:val="22"/>
        </w:rPr>
        <w:t xml:space="preserve">programie FE SL 2021-2027 w </w:t>
      </w:r>
      <w:r w:rsidRPr="001A1C1F">
        <w:rPr>
          <w:b w:val="0"/>
          <w:bCs w:val="0"/>
          <w:sz w:val="22"/>
          <w:szCs w:val="22"/>
        </w:rPr>
        <w:t xml:space="preserve">ramach Priorytetu I, celu szczegółowego (iv) Rozwijanie umiejętności w zakresie inteligentnej specjalizacji, transformacji przemysłowej i przedsiębiorczości. W katalogu dostępnych wskaźników monitorowania </w:t>
      </w:r>
      <w:r w:rsidR="001A1C1F" w:rsidRPr="001A1C1F">
        <w:rPr>
          <w:b w:val="0"/>
          <w:bCs w:val="0"/>
          <w:sz w:val="22"/>
          <w:szCs w:val="22"/>
        </w:rPr>
        <w:t xml:space="preserve">dla nowej perspektywy finansowej </w:t>
      </w:r>
      <w:r w:rsidRPr="001A1C1F">
        <w:rPr>
          <w:b w:val="0"/>
          <w:bCs w:val="0"/>
          <w:sz w:val="22"/>
          <w:szCs w:val="22"/>
        </w:rPr>
        <w:t>tylk</w:t>
      </w:r>
      <w:r w:rsidR="001A1C1F" w:rsidRPr="001A1C1F">
        <w:rPr>
          <w:b w:val="0"/>
          <w:bCs w:val="0"/>
          <w:sz w:val="22"/>
          <w:szCs w:val="22"/>
        </w:rPr>
        <w:t>o jeden wskaźnik jest adekwatny</w:t>
      </w:r>
      <w:r w:rsidRPr="001A1C1F">
        <w:rPr>
          <w:b w:val="0"/>
          <w:bCs w:val="0"/>
          <w:sz w:val="22"/>
          <w:szCs w:val="22"/>
        </w:rPr>
        <w:t>. Jest to wskaźnik produktu „</w:t>
      </w:r>
      <w:r w:rsidRPr="001A1C1F">
        <w:rPr>
          <w:b w:val="0"/>
          <w:bCs w:val="0"/>
          <w:i/>
          <w:sz w:val="22"/>
          <w:szCs w:val="22"/>
        </w:rPr>
        <w:t>Udział podmiotów instytucjonalnych w procesie przedsiębiorczego odkrywania</w:t>
      </w:r>
      <w:r w:rsidR="001A1C1F" w:rsidRPr="001A1C1F">
        <w:rPr>
          <w:b w:val="0"/>
          <w:bCs w:val="0"/>
          <w:sz w:val="22"/>
          <w:szCs w:val="22"/>
        </w:rPr>
        <w:t>”</w:t>
      </w:r>
      <w:r w:rsidRPr="001A1C1F">
        <w:rPr>
          <w:b w:val="0"/>
          <w:bCs w:val="0"/>
          <w:sz w:val="22"/>
          <w:szCs w:val="22"/>
        </w:rPr>
        <w:t xml:space="preserve"> (RCO 016). Wskaźnik rezultatu </w:t>
      </w:r>
      <w:r w:rsidR="001A1C1F" w:rsidRPr="001A1C1F">
        <w:rPr>
          <w:b w:val="0"/>
          <w:bCs w:val="0"/>
          <w:sz w:val="22"/>
          <w:szCs w:val="22"/>
        </w:rPr>
        <w:t>–</w:t>
      </w:r>
      <w:r w:rsidRPr="001A1C1F">
        <w:rPr>
          <w:b w:val="0"/>
          <w:bCs w:val="0"/>
          <w:sz w:val="22"/>
          <w:szCs w:val="22"/>
        </w:rPr>
        <w:t xml:space="preserve"> </w:t>
      </w:r>
      <w:r w:rsidR="001A1C1F" w:rsidRPr="001A1C1F">
        <w:rPr>
          <w:b w:val="0"/>
          <w:bCs w:val="0"/>
          <w:sz w:val="22"/>
          <w:szCs w:val="22"/>
        </w:rPr>
        <w:t>„</w:t>
      </w:r>
      <w:r w:rsidRPr="001A1C1F">
        <w:rPr>
          <w:b w:val="0"/>
          <w:bCs w:val="0"/>
          <w:i/>
          <w:sz w:val="22"/>
          <w:szCs w:val="22"/>
        </w:rPr>
        <w:t>Inwestycje prywatne uzupełniające wsparcie publiczne</w:t>
      </w:r>
      <w:r w:rsidR="001A1C1F" w:rsidRPr="001A1C1F">
        <w:rPr>
          <w:b w:val="0"/>
          <w:bCs w:val="0"/>
          <w:sz w:val="22"/>
          <w:szCs w:val="22"/>
        </w:rPr>
        <w:t>”</w:t>
      </w:r>
      <w:r w:rsidRPr="001A1C1F">
        <w:rPr>
          <w:b w:val="0"/>
          <w:bCs w:val="0"/>
          <w:sz w:val="22"/>
          <w:szCs w:val="22"/>
        </w:rPr>
        <w:t xml:space="preserve"> (RCR002) w niewielkim stopniu będzie zasilany z działań będących kontynuacją 1.4. Wydaje się bardziej dos</w:t>
      </w:r>
      <w:r w:rsidR="001A1C1F" w:rsidRPr="001A1C1F">
        <w:rPr>
          <w:b w:val="0"/>
          <w:bCs w:val="0"/>
          <w:sz w:val="22"/>
          <w:szCs w:val="22"/>
        </w:rPr>
        <w:t>tosowany do pozostałych działań</w:t>
      </w:r>
      <w:r w:rsidRPr="001A1C1F">
        <w:rPr>
          <w:b w:val="0"/>
          <w:bCs w:val="0"/>
          <w:sz w:val="22"/>
          <w:szCs w:val="22"/>
        </w:rPr>
        <w:t>.</w:t>
      </w:r>
      <w:r w:rsidR="001A1C1F" w:rsidRPr="001A1C1F">
        <w:rPr>
          <w:b w:val="0"/>
          <w:bCs w:val="0"/>
          <w:sz w:val="22"/>
          <w:szCs w:val="22"/>
        </w:rPr>
        <w:t xml:space="preserve"> </w:t>
      </w:r>
      <w:r w:rsidRPr="001A1C1F">
        <w:rPr>
          <w:b w:val="0"/>
          <w:bCs w:val="0"/>
          <w:sz w:val="22"/>
          <w:szCs w:val="22"/>
        </w:rPr>
        <w:t xml:space="preserve">Wskaźniki produktu na poziomie działań powinny zostać przyjęte po skonkretyzowaniu zakresu identyfikowanych w procedurze pozakonkursowej projektów. Należy jednak pamiętać, że tego typu </w:t>
      </w:r>
      <w:r w:rsidRPr="001A1C1F">
        <w:rPr>
          <w:b w:val="0"/>
          <w:bCs w:val="0"/>
          <w:sz w:val="22"/>
          <w:szCs w:val="22"/>
        </w:rPr>
        <w:lastRenderedPageBreak/>
        <w:t>działania przynoszą głównie efekty jakościowe, trudne do zmierzenia za pomocą wskaźników ilościowych</w:t>
      </w:r>
      <w:r w:rsidR="001A1C1F">
        <w:rPr>
          <w:b w:val="0"/>
          <w:bCs w:val="0"/>
          <w:sz w:val="22"/>
          <w:szCs w:val="22"/>
        </w:rPr>
        <w:t>.</w:t>
      </w:r>
    </w:p>
    <w:p w14:paraId="03A88AF9" w14:textId="7A4B7185" w:rsidR="006F0CD1" w:rsidRPr="008F7F8E" w:rsidRDefault="006F0CD1" w:rsidP="00B7062C">
      <w:pPr>
        <w:pStyle w:val="Nagwek1"/>
      </w:pPr>
      <w:r w:rsidRPr="008F7F8E">
        <w:t>Kluczowe rekomendacje:</w:t>
      </w:r>
    </w:p>
    <w:p w14:paraId="00288DDB" w14:textId="77777777" w:rsidR="00467DD5" w:rsidRPr="0073114E" w:rsidRDefault="00467DD5" w:rsidP="00467DD5">
      <w:pPr>
        <w:pStyle w:val="Akapitzlist"/>
        <w:numPr>
          <w:ilvl w:val="0"/>
          <w:numId w:val="2"/>
        </w:numPr>
        <w:spacing w:line="276" w:lineRule="auto"/>
        <w:ind w:left="567" w:hanging="283"/>
        <w:rPr>
          <w:color w:val="000000" w:themeColor="text1"/>
        </w:rPr>
      </w:pPr>
      <w:r w:rsidRPr="0073114E">
        <w:rPr>
          <w:color w:val="000000" w:themeColor="text1"/>
        </w:rPr>
        <w:t>Podjęcie działań w celu skrócenia czasu między rozpoczęciem procedury naboru projektów na dofinansowanie regionalnej infrastruktury badawczej w ramach Kontraktu Programowego, a podpisywaniem umów o dofinansowanie.</w:t>
      </w:r>
    </w:p>
    <w:p w14:paraId="2ED6AE73" w14:textId="7F9540D3" w:rsidR="00467DD5" w:rsidRPr="0073114E" w:rsidRDefault="00467DD5" w:rsidP="00467DD5">
      <w:pPr>
        <w:pStyle w:val="Akapitzlist"/>
        <w:numPr>
          <w:ilvl w:val="0"/>
          <w:numId w:val="2"/>
        </w:numPr>
        <w:spacing w:line="276" w:lineRule="auto"/>
        <w:ind w:left="567" w:hanging="283"/>
        <w:rPr>
          <w:color w:val="000000" w:themeColor="text1"/>
        </w:rPr>
      </w:pPr>
      <w:r w:rsidRPr="0073114E">
        <w:rPr>
          <w:color w:val="000000" w:themeColor="text1"/>
        </w:rPr>
        <w:t>Rezygnacja z obligowania projektodawców w zakresie regionalnej infrastruktury badawczej do przedstawiania szczegółowych parametrów planowanej do nabycia aparatury lub wprowadzenie zasady</w:t>
      </w:r>
      <w:r w:rsidR="0073114E" w:rsidRPr="0073114E">
        <w:rPr>
          <w:color w:val="000000" w:themeColor="text1"/>
        </w:rPr>
        <w:t>, w myśl</w:t>
      </w:r>
      <w:r w:rsidRPr="0073114E">
        <w:rPr>
          <w:color w:val="000000" w:themeColor="text1"/>
        </w:rPr>
        <w:t xml:space="preserve"> której beneficjent nie musiałby występować o zgodę na nabycie urządzenia o lepszych parametrach. </w:t>
      </w:r>
    </w:p>
    <w:p w14:paraId="7CEF4BD7" w14:textId="77777777" w:rsidR="00467DD5" w:rsidRPr="00467DD5" w:rsidRDefault="00467DD5" w:rsidP="00467DD5">
      <w:pPr>
        <w:pStyle w:val="Akapitzlist"/>
        <w:numPr>
          <w:ilvl w:val="0"/>
          <w:numId w:val="2"/>
        </w:numPr>
        <w:spacing w:line="276" w:lineRule="auto"/>
        <w:ind w:left="567" w:hanging="283"/>
        <w:rPr>
          <w:color w:val="auto"/>
        </w:rPr>
      </w:pPr>
      <w:r w:rsidRPr="00467DD5">
        <w:rPr>
          <w:color w:val="auto"/>
        </w:rPr>
        <w:t xml:space="preserve">Przyjęcie rozwiązań, które zminimalizują ryzyko wystąpienia sankcji finansowych po stronie beneficjentów wsparcia w zakresie regionalnej infrastruktury badawczej. </w:t>
      </w:r>
    </w:p>
    <w:p w14:paraId="515B8923" w14:textId="6D5F7F78" w:rsidR="008F7F8E" w:rsidRPr="008F7F8E" w:rsidRDefault="008F7F8E" w:rsidP="00321182">
      <w:pPr>
        <w:pStyle w:val="Akapitzlist"/>
        <w:numPr>
          <w:ilvl w:val="0"/>
          <w:numId w:val="2"/>
        </w:numPr>
        <w:spacing w:line="276" w:lineRule="auto"/>
        <w:ind w:left="567" w:hanging="357"/>
        <w:contextualSpacing w:val="0"/>
        <w:rPr>
          <w:color w:val="auto"/>
        </w:rPr>
      </w:pPr>
      <w:r w:rsidRPr="008F7F8E">
        <w:rPr>
          <w:color w:val="auto"/>
        </w:rPr>
        <w:t xml:space="preserve">Zwiększenie roli planu prac B+R </w:t>
      </w:r>
      <w:sdt>
        <w:sdtPr>
          <w:rPr>
            <w:color w:val="auto"/>
          </w:rPr>
          <w:tag w:val="goog_rdk_43"/>
          <w:id w:val="-199553037"/>
        </w:sdtPr>
        <w:sdtEndPr/>
        <w:sdtContent>
          <w:r w:rsidRPr="008F7F8E">
            <w:rPr>
              <w:color w:val="auto"/>
            </w:rPr>
            <w:t>zawartego</w:t>
          </w:r>
        </w:sdtContent>
      </w:sdt>
      <w:r w:rsidRPr="008F7F8E">
        <w:rPr>
          <w:color w:val="auto"/>
        </w:rPr>
        <w:t xml:space="preserve"> we </w:t>
      </w:r>
      <w:sdt>
        <w:sdtPr>
          <w:rPr>
            <w:color w:val="auto"/>
          </w:rPr>
          <w:tag w:val="goog_rdk_44"/>
          <w:id w:val="839820959"/>
        </w:sdtPr>
        <w:sdtEndPr/>
        <w:sdtContent>
          <w:r w:rsidRPr="008F7F8E">
            <w:rPr>
              <w:color w:val="auto"/>
            </w:rPr>
            <w:t>wniosku</w:t>
          </w:r>
        </w:sdtContent>
      </w:sdt>
      <w:r w:rsidRPr="008F7F8E">
        <w:rPr>
          <w:color w:val="auto"/>
        </w:rPr>
        <w:t xml:space="preserve"> o dofinansowanie dla przedsiębiorców, </w:t>
      </w:r>
      <w:r w:rsidR="00170607">
        <w:rPr>
          <w:color w:val="auto"/>
        </w:rPr>
        <w:t xml:space="preserve">tak </w:t>
      </w:r>
      <w:r w:rsidRPr="008F7F8E">
        <w:rPr>
          <w:color w:val="auto"/>
        </w:rPr>
        <w:t xml:space="preserve">aby uszczegóławiał on zarówno faktyczne wyzwania badawcze, jak i metody oraz zasoby służące do ich </w:t>
      </w:r>
      <w:r w:rsidR="00170607">
        <w:rPr>
          <w:color w:val="auto"/>
        </w:rPr>
        <w:t>adresowania</w:t>
      </w:r>
      <w:r w:rsidRPr="008F7F8E">
        <w:rPr>
          <w:color w:val="auto"/>
        </w:rPr>
        <w:t>.</w:t>
      </w:r>
    </w:p>
    <w:p w14:paraId="3FA8E62C" w14:textId="77777777" w:rsidR="008F7F8E" w:rsidRPr="008F7F8E" w:rsidRDefault="008F7F8E" w:rsidP="00321182">
      <w:pPr>
        <w:pStyle w:val="Akapitzlist"/>
        <w:numPr>
          <w:ilvl w:val="0"/>
          <w:numId w:val="2"/>
        </w:numPr>
        <w:spacing w:line="276" w:lineRule="auto"/>
        <w:ind w:left="567" w:hanging="357"/>
        <w:contextualSpacing w:val="0"/>
        <w:rPr>
          <w:color w:val="auto"/>
        </w:rPr>
      </w:pPr>
      <w:r w:rsidRPr="008F7F8E">
        <w:rPr>
          <w:color w:val="auto"/>
        </w:rPr>
        <w:t>Zastosowanie w większej skali rozliczeń ryczałtowych w projektach B+R skierowanych do przedsiębiorców.</w:t>
      </w:r>
    </w:p>
    <w:p w14:paraId="4D92F363" w14:textId="20CAE087" w:rsidR="008F7F8E" w:rsidRPr="008F7F8E" w:rsidRDefault="008F7F8E" w:rsidP="00321182">
      <w:pPr>
        <w:pStyle w:val="Akapitzlist"/>
        <w:numPr>
          <w:ilvl w:val="0"/>
          <w:numId w:val="2"/>
        </w:numPr>
        <w:spacing w:line="276" w:lineRule="auto"/>
        <w:ind w:left="567" w:hanging="357"/>
        <w:contextualSpacing w:val="0"/>
        <w:rPr>
          <w:color w:val="auto"/>
        </w:rPr>
      </w:pPr>
      <w:r w:rsidRPr="008F7F8E">
        <w:rPr>
          <w:color w:val="auto"/>
        </w:rPr>
        <w:t>Wypracowanie kompleksowego podejści</w:t>
      </w:r>
      <w:r w:rsidR="00170607">
        <w:rPr>
          <w:color w:val="auto"/>
        </w:rPr>
        <w:t>a</w:t>
      </w:r>
      <w:r w:rsidRPr="008F7F8E">
        <w:rPr>
          <w:color w:val="auto"/>
        </w:rPr>
        <w:t xml:space="preserve"> do budowania </w:t>
      </w:r>
      <w:r w:rsidR="00170607">
        <w:rPr>
          <w:color w:val="auto"/>
        </w:rPr>
        <w:t xml:space="preserve">wewnętrznego </w:t>
      </w:r>
      <w:r w:rsidRPr="008F7F8E">
        <w:rPr>
          <w:color w:val="auto"/>
        </w:rPr>
        <w:t>potencjału I</w:t>
      </w:r>
      <w:r w:rsidR="00170607">
        <w:rPr>
          <w:color w:val="auto"/>
        </w:rPr>
        <w:t>nstytucji Otoczenia Biznesu</w:t>
      </w:r>
      <w:r w:rsidRPr="008F7F8E">
        <w:rPr>
          <w:color w:val="auto"/>
        </w:rPr>
        <w:t xml:space="preserve"> w ramach udzielanego wsparcia.</w:t>
      </w:r>
    </w:p>
    <w:p w14:paraId="04825508" w14:textId="044B961E" w:rsidR="006F0CD1" w:rsidRPr="008F7F8E" w:rsidRDefault="008F7F8E" w:rsidP="00170607">
      <w:pPr>
        <w:pStyle w:val="Akapitzlist"/>
        <w:numPr>
          <w:ilvl w:val="0"/>
          <w:numId w:val="2"/>
        </w:numPr>
        <w:spacing w:line="276" w:lineRule="auto"/>
        <w:ind w:left="567" w:hanging="283"/>
        <w:contextualSpacing w:val="0"/>
        <w:jc w:val="left"/>
        <w:rPr>
          <w:color w:val="auto"/>
        </w:rPr>
      </w:pPr>
      <w:r w:rsidRPr="008F7F8E">
        <w:rPr>
          <w:color w:val="auto"/>
        </w:rPr>
        <w:t xml:space="preserve">Powierzenie </w:t>
      </w:r>
      <w:r w:rsidR="00170607" w:rsidRPr="00170607">
        <w:rPr>
          <w:color w:val="auto"/>
        </w:rPr>
        <w:t xml:space="preserve">Wojewódzkiemu Urzędowi Pracy </w:t>
      </w:r>
      <w:r w:rsidRPr="008F7F8E">
        <w:rPr>
          <w:color w:val="auto"/>
        </w:rPr>
        <w:t xml:space="preserve">wdrażania projektów </w:t>
      </w:r>
      <w:r w:rsidR="00170607">
        <w:rPr>
          <w:color w:val="auto"/>
        </w:rPr>
        <w:t xml:space="preserve">nieinfrastrukturalnych </w:t>
      </w:r>
      <w:r w:rsidRPr="008F7F8E">
        <w:rPr>
          <w:color w:val="auto"/>
        </w:rPr>
        <w:t>w zakresie rozwoju ekosystemu innowacji.</w:t>
      </w:r>
    </w:p>
    <w:p w14:paraId="7DAC9592" w14:textId="6539BB3D" w:rsidR="006F0CD1" w:rsidRPr="008F7F8E" w:rsidRDefault="006F0CD1" w:rsidP="003C22B8">
      <w:pPr>
        <w:rPr>
          <w:i/>
          <w:iCs/>
          <w:color w:val="FF0000"/>
          <w:sz w:val="20"/>
          <w:szCs w:val="20"/>
        </w:rPr>
      </w:pPr>
    </w:p>
    <w:p w14:paraId="6BB8B566" w14:textId="4AB5A1DF" w:rsidR="003810CD" w:rsidRPr="008F7F8E" w:rsidRDefault="006F0CD1" w:rsidP="003C22B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  <w:r w:rsidR="003810CD" w:rsidRPr="008F7F8E">
        <w:rPr>
          <w:i/>
          <w:iCs/>
          <w:sz w:val="20"/>
          <w:szCs w:val="20"/>
        </w:rPr>
        <w:lastRenderedPageBreak/>
        <w:t>Badanie zrealizowane na zlecenie Urzędu Marszałkowskiego Województwa Śląskiego przez</w:t>
      </w:r>
      <w:r w:rsidR="00FF2D1F" w:rsidRPr="008F7F8E">
        <w:rPr>
          <w:i/>
          <w:iCs/>
          <w:sz w:val="20"/>
          <w:szCs w:val="20"/>
        </w:rPr>
        <w:t> </w:t>
      </w:r>
      <w:r w:rsidR="00B228C8">
        <w:rPr>
          <w:i/>
          <w:iCs/>
          <w:sz w:val="20"/>
          <w:szCs w:val="20"/>
        </w:rPr>
        <w:t xml:space="preserve">konsorcjum </w:t>
      </w:r>
      <w:r w:rsidR="008F7F8E" w:rsidRPr="008F7F8E">
        <w:rPr>
          <w:rFonts w:eastAsia="Times New Roman" w:cstheme="minorHAnsi"/>
          <w:i/>
          <w:iCs/>
          <w:color w:val="000000"/>
          <w:sz w:val="20"/>
          <w:szCs w:val="20"/>
        </w:rPr>
        <w:t>firm badawczych</w:t>
      </w:r>
      <w:r w:rsidR="008F7F8E" w:rsidRPr="008F7F8E">
        <w:rPr>
          <w:rFonts w:eastAsia="Times New Roman" w:cstheme="minorHAnsi"/>
          <w:b/>
          <w:i/>
          <w:iCs/>
          <w:color w:val="000000"/>
          <w:sz w:val="20"/>
          <w:szCs w:val="20"/>
        </w:rPr>
        <w:t>: EGO</w:t>
      </w:r>
      <w:r w:rsidR="008F7F8E" w:rsidRPr="008F7F8E">
        <w:rPr>
          <w:rFonts w:eastAsia="Times New Roman" w:cstheme="minorHAnsi"/>
          <w:i/>
          <w:iCs/>
          <w:color w:val="000000"/>
          <w:sz w:val="20"/>
          <w:szCs w:val="20"/>
        </w:rPr>
        <w:t xml:space="preserve"> – Evaluation for Government Organizations S.C. </w:t>
      </w:r>
      <w:r w:rsidR="008F7F8E" w:rsidRPr="008F7F8E">
        <w:rPr>
          <w:rFonts w:eastAsia="Times New Roman" w:cstheme="minorHAnsi"/>
          <w:b/>
          <w:i/>
          <w:iCs/>
          <w:color w:val="000000"/>
          <w:sz w:val="20"/>
          <w:szCs w:val="20"/>
        </w:rPr>
        <w:t>oraz LB&amp;E</w:t>
      </w:r>
    </w:p>
    <w:p w14:paraId="2ED570A1" w14:textId="047A6FB4" w:rsidR="00FF2D1F" w:rsidRPr="00FF2D1F" w:rsidRDefault="00FF2D1F" w:rsidP="003C22B8">
      <w:pPr>
        <w:rPr>
          <w:i/>
          <w:iCs/>
        </w:rPr>
      </w:pPr>
    </w:p>
    <w:p w14:paraId="2813FB93" w14:textId="77777777" w:rsidR="003810CD" w:rsidRPr="00FF2D1F" w:rsidRDefault="003810CD" w:rsidP="00E715E3">
      <w:pPr>
        <w:spacing w:before="10680"/>
        <w:rPr>
          <w:i/>
          <w:iCs/>
          <w:sz w:val="20"/>
          <w:szCs w:val="20"/>
        </w:rPr>
      </w:pPr>
      <w:r w:rsidRPr="00FF2D1F">
        <w:rPr>
          <w:i/>
          <w:iCs/>
          <w:sz w:val="20"/>
          <w:szCs w:val="20"/>
        </w:rPr>
        <w:t>Badanie współfinasowane ze środków Unii Europejskiej z Europejskiego Funduszu Społecznego w ramach Regionalnego Programu Operacyjnego Województwa Śląskiego na lata 2014-2020.</w:t>
      </w:r>
    </w:p>
    <w:p w14:paraId="1A202F02" w14:textId="3E689A44" w:rsidR="003810CD" w:rsidRPr="003810CD" w:rsidRDefault="003810CD" w:rsidP="003C22B8">
      <w:pPr>
        <w:rPr>
          <w:sz w:val="28"/>
          <w:szCs w:val="28"/>
        </w:rPr>
      </w:pPr>
      <w:r w:rsidRPr="003810CD">
        <w:rPr>
          <w:noProof/>
          <w:lang w:eastAsia="pl-PL"/>
        </w:rPr>
        <w:lastRenderedPageBreak/>
        <w:drawing>
          <wp:inline distT="0" distB="0" distL="0" distR="0" wp14:anchorId="1C7B21FF" wp14:editId="6378F6B1">
            <wp:extent cx="5729376" cy="562707"/>
            <wp:effectExtent l="0" t="0" r="5080" b="8890"/>
            <wp:docPr id="1" name="Obraz 1" descr="Ciąg logotypów: Fundusze Europejskie - Program Regionalny; Rzeczpospolita Polska, Województwo Śląskie; Unia Europejska - Europejskie Fundusze Strukturalne i Inwestycy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logotypów: Fundusze Europejskie - Program Regionalny; Rzeczpospolita Polska, Województwo Śląskie; Unia Europejska - Europejskie Fundusze Strukturalne i Inwestycyj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388" cy="61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0CD" w:rsidRPr="003810CD" w:rsidSect="003810C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CD686B" w16cid:durableId="25D5B277"/>
  <w16cid:commentId w16cid:paraId="63D6D25A" w16cid:durableId="25D5B278"/>
  <w16cid:commentId w16cid:paraId="4D9C6FA4" w16cid:durableId="25D5B279"/>
  <w16cid:commentId w16cid:paraId="2834D8C3" w16cid:durableId="25D5B27A"/>
  <w16cid:commentId w16cid:paraId="4B4E21BF" w16cid:durableId="25D5B27B"/>
  <w16cid:commentId w16cid:paraId="7556B7C9" w16cid:durableId="25D5B27C"/>
  <w16cid:commentId w16cid:paraId="153B7E00" w16cid:durableId="25D5B27D"/>
  <w16cid:commentId w16cid:paraId="5E2BA8B5" w16cid:durableId="25D5B27E"/>
  <w16cid:commentId w16cid:paraId="61F42B25" w16cid:durableId="25D5B27F"/>
  <w16cid:commentId w16cid:paraId="73BCE305" w16cid:durableId="25D5B280"/>
  <w16cid:commentId w16cid:paraId="63D52391" w16cid:durableId="25D5B281"/>
  <w16cid:commentId w16cid:paraId="4B7B78FC" w16cid:durableId="25D5B282"/>
  <w16cid:commentId w16cid:paraId="3651D8F6" w16cid:durableId="25D5B283"/>
  <w16cid:commentId w16cid:paraId="62DEBF9F" w16cid:durableId="25D5B9B2"/>
  <w16cid:commentId w16cid:paraId="22D4EB0C" w16cid:durableId="25D5B2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9C0D" w14:textId="77777777" w:rsidR="00340DFF" w:rsidRDefault="00340DFF" w:rsidP="003C22B8">
      <w:r>
        <w:separator/>
      </w:r>
    </w:p>
  </w:endnote>
  <w:endnote w:type="continuationSeparator" w:id="0">
    <w:p w14:paraId="042BB142" w14:textId="77777777" w:rsidR="00340DFF" w:rsidRDefault="00340DFF" w:rsidP="003C22B8">
      <w:r>
        <w:continuationSeparator/>
      </w:r>
    </w:p>
  </w:endnote>
  <w:endnote w:type="continuationNotice" w:id="1">
    <w:p w14:paraId="63B24812" w14:textId="77777777" w:rsidR="00340DFF" w:rsidRDefault="00340DF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D824" w14:textId="77777777" w:rsidR="00340DFF" w:rsidRDefault="00340DFF" w:rsidP="003C22B8">
      <w:r>
        <w:separator/>
      </w:r>
    </w:p>
  </w:footnote>
  <w:footnote w:type="continuationSeparator" w:id="0">
    <w:p w14:paraId="2B25630D" w14:textId="77777777" w:rsidR="00340DFF" w:rsidRDefault="00340DFF" w:rsidP="003C22B8">
      <w:r>
        <w:continuationSeparator/>
      </w:r>
    </w:p>
  </w:footnote>
  <w:footnote w:type="continuationNotice" w:id="1">
    <w:p w14:paraId="7845081A" w14:textId="77777777" w:rsidR="00340DFF" w:rsidRDefault="00340DFF">
      <w:pPr>
        <w:spacing w:before="0" w:after="0" w:line="240" w:lineRule="auto"/>
      </w:pPr>
    </w:p>
  </w:footnote>
  <w:footnote w:id="2">
    <w:p w14:paraId="17E28F54" w14:textId="615DF443" w:rsidR="005077E5" w:rsidRDefault="005077E5">
      <w:pPr>
        <w:pStyle w:val="Tekstprzypisudolnego"/>
      </w:pPr>
      <w:r>
        <w:rPr>
          <w:rStyle w:val="Odwoanieprzypisudolnego"/>
        </w:rPr>
        <w:footnoteRef/>
      </w:r>
      <w:r>
        <w:t xml:space="preserve"> Wyniki badania ankietowego wśród firm realizujących projekty w ramach dz. 1.2 RPO WSL 2014-2020 (n=100)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030"/>
    <w:multiLevelType w:val="hybridMultilevel"/>
    <w:tmpl w:val="C30084C6"/>
    <w:lvl w:ilvl="0" w:tplc="BE6A662A">
      <w:start w:val="30"/>
      <w:numFmt w:val="decimal"/>
      <w:lvlText w:val="%1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B19784D"/>
    <w:multiLevelType w:val="hybridMultilevel"/>
    <w:tmpl w:val="F760E9B4"/>
    <w:lvl w:ilvl="0" w:tplc="DCDC8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8DC"/>
    <w:multiLevelType w:val="hybridMultilevel"/>
    <w:tmpl w:val="3F16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3EB"/>
    <w:multiLevelType w:val="hybridMultilevel"/>
    <w:tmpl w:val="6284C4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01F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E8B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030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6F8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82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8B2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A2E9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A03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232C2"/>
    <w:multiLevelType w:val="hybridMultilevel"/>
    <w:tmpl w:val="CF78E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A67"/>
    <w:multiLevelType w:val="hybridMultilevel"/>
    <w:tmpl w:val="EEB8C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7600"/>
    <w:multiLevelType w:val="hybridMultilevel"/>
    <w:tmpl w:val="818E9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0A72"/>
    <w:multiLevelType w:val="hybridMultilevel"/>
    <w:tmpl w:val="D242C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7224C"/>
    <w:multiLevelType w:val="hybridMultilevel"/>
    <w:tmpl w:val="C96A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C47"/>
    <w:multiLevelType w:val="hybridMultilevel"/>
    <w:tmpl w:val="E9D2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124"/>
    <w:multiLevelType w:val="hybridMultilevel"/>
    <w:tmpl w:val="235E1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3EA5"/>
    <w:multiLevelType w:val="hybridMultilevel"/>
    <w:tmpl w:val="26142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07558"/>
    <w:multiLevelType w:val="hybridMultilevel"/>
    <w:tmpl w:val="EDF4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F31B4"/>
    <w:multiLevelType w:val="hybridMultilevel"/>
    <w:tmpl w:val="16426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01356"/>
    <w:multiLevelType w:val="hybridMultilevel"/>
    <w:tmpl w:val="1660E78E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5CDF3219"/>
    <w:multiLevelType w:val="hybridMultilevel"/>
    <w:tmpl w:val="579A3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15586"/>
    <w:multiLevelType w:val="hybridMultilevel"/>
    <w:tmpl w:val="920EB4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6E045D"/>
    <w:multiLevelType w:val="hybridMultilevel"/>
    <w:tmpl w:val="9AE4A7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5E1AD8"/>
    <w:multiLevelType w:val="hybridMultilevel"/>
    <w:tmpl w:val="0B6ED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3"/>
  </w:num>
  <w:num w:numId="5">
    <w:abstractNumId w:val="15"/>
  </w:num>
  <w:num w:numId="6">
    <w:abstractNumId w:val="18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7"/>
  </w:num>
  <w:num w:numId="16">
    <w:abstractNumId w:val="14"/>
  </w:num>
  <w:num w:numId="17">
    <w:abstractNumId w:val="12"/>
  </w:num>
  <w:num w:numId="18">
    <w:abstractNumId w:val="5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2"/>
    <w:rsid w:val="0000223F"/>
    <w:rsid w:val="00020665"/>
    <w:rsid w:val="00034E92"/>
    <w:rsid w:val="00055260"/>
    <w:rsid w:val="00062D97"/>
    <w:rsid w:val="00066438"/>
    <w:rsid w:val="00066CB3"/>
    <w:rsid w:val="00067CD3"/>
    <w:rsid w:val="00075AE6"/>
    <w:rsid w:val="000A2CCA"/>
    <w:rsid w:val="000B13AB"/>
    <w:rsid w:val="000B1CE4"/>
    <w:rsid w:val="000B1DAB"/>
    <w:rsid w:val="000C106A"/>
    <w:rsid w:val="000C5F98"/>
    <w:rsid w:val="000C7975"/>
    <w:rsid w:val="000D3764"/>
    <w:rsid w:val="000D7218"/>
    <w:rsid w:val="000E0775"/>
    <w:rsid w:val="000E7D9C"/>
    <w:rsid w:val="000F1888"/>
    <w:rsid w:val="000F2F71"/>
    <w:rsid w:val="000F40EB"/>
    <w:rsid w:val="000F6155"/>
    <w:rsid w:val="00104B27"/>
    <w:rsid w:val="0011126A"/>
    <w:rsid w:val="00123DEA"/>
    <w:rsid w:val="001311AF"/>
    <w:rsid w:val="00144BB5"/>
    <w:rsid w:val="001515FB"/>
    <w:rsid w:val="0016445F"/>
    <w:rsid w:val="001676B8"/>
    <w:rsid w:val="00170607"/>
    <w:rsid w:val="001771D3"/>
    <w:rsid w:val="00182536"/>
    <w:rsid w:val="00197BE3"/>
    <w:rsid w:val="001A158A"/>
    <w:rsid w:val="001A1C1F"/>
    <w:rsid w:val="001B6D07"/>
    <w:rsid w:val="001C1313"/>
    <w:rsid w:val="001C3AEA"/>
    <w:rsid w:val="001C56FF"/>
    <w:rsid w:val="001C7840"/>
    <w:rsid w:val="001D10BB"/>
    <w:rsid w:val="001D5C86"/>
    <w:rsid w:val="001E2752"/>
    <w:rsid w:val="001E646E"/>
    <w:rsid w:val="001F476F"/>
    <w:rsid w:val="00201F5E"/>
    <w:rsid w:val="00205CA1"/>
    <w:rsid w:val="002104BE"/>
    <w:rsid w:val="00220AF7"/>
    <w:rsid w:val="00244055"/>
    <w:rsid w:val="00246006"/>
    <w:rsid w:val="00251B46"/>
    <w:rsid w:val="00257627"/>
    <w:rsid w:val="0026161B"/>
    <w:rsid w:val="00273CFA"/>
    <w:rsid w:val="002777D0"/>
    <w:rsid w:val="002778F2"/>
    <w:rsid w:val="00277C47"/>
    <w:rsid w:val="00290134"/>
    <w:rsid w:val="00291F7A"/>
    <w:rsid w:val="00292D13"/>
    <w:rsid w:val="00293588"/>
    <w:rsid w:val="002A30C2"/>
    <w:rsid w:val="002A50A1"/>
    <w:rsid w:val="002B21E1"/>
    <w:rsid w:val="002B61EB"/>
    <w:rsid w:val="002C17F7"/>
    <w:rsid w:val="002C1D4F"/>
    <w:rsid w:val="002C3881"/>
    <w:rsid w:val="002C38D8"/>
    <w:rsid w:val="002E3A95"/>
    <w:rsid w:val="002E6B0E"/>
    <w:rsid w:val="003023BD"/>
    <w:rsid w:val="00304114"/>
    <w:rsid w:val="00315919"/>
    <w:rsid w:val="00317F5D"/>
    <w:rsid w:val="00321182"/>
    <w:rsid w:val="0032321F"/>
    <w:rsid w:val="003336D6"/>
    <w:rsid w:val="0034008C"/>
    <w:rsid w:val="00340DFF"/>
    <w:rsid w:val="00351250"/>
    <w:rsid w:val="00357F29"/>
    <w:rsid w:val="003674EE"/>
    <w:rsid w:val="00367C1E"/>
    <w:rsid w:val="00375C2A"/>
    <w:rsid w:val="003770AE"/>
    <w:rsid w:val="003810CD"/>
    <w:rsid w:val="003824F2"/>
    <w:rsid w:val="003846CB"/>
    <w:rsid w:val="003A6AF1"/>
    <w:rsid w:val="003C22B8"/>
    <w:rsid w:val="003D0565"/>
    <w:rsid w:val="003E3517"/>
    <w:rsid w:val="004047F0"/>
    <w:rsid w:val="00404EF9"/>
    <w:rsid w:val="0040596E"/>
    <w:rsid w:val="00406032"/>
    <w:rsid w:val="0040725B"/>
    <w:rsid w:val="004078F9"/>
    <w:rsid w:val="004079B1"/>
    <w:rsid w:val="0041003A"/>
    <w:rsid w:val="004245A7"/>
    <w:rsid w:val="004249C7"/>
    <w:rsid w:val="00427E5A"/>
    <w:rsid w:val="004314C2"/>
    <w:rsid w:val="00434763"/>
    <w:rsid w:val="004352E4"/>
    <w:rsid w:val="0043589D"/>
    <w:rsid w:val="004476F6"/>
    <w:rsid w:val="00467DD5"/>
    <w:rsid w:val="0047722F"/>
    <w:rsid w:val="004852B3"/>
    <w:rsid w:val="00492C66"/>
    <w:rsid w:val="004A2399"/>
    <w:rsid w:val="004A2778"/>
    <w:rsid w:val="004B1D75"/>
    <w:rsid w:val="004B5DA8"/>
    <w:rsid w:val="004C0307"/>
    <w:rsid w:val="004C359D"/>
    <w:rsid w:val="004C61B2"/>
    <w:rsid w:val="004D34AE"/>
    <w:rsid w:val="004D3DC0"/>
    <w:rsid w:val="004E29BA"/>
    <w:rsid w:val="004E64F4"/>
    <w:rsid w:val="004F0C78"/>
    <w:rsid w:val="004F496A"/>
    <w:rsid w:val="004F5F77"/>
    <w:rsid w:val="004F699C"/>
    <w:rsid w:val="005077E5"/>
    <w:rsid w:val="005140A4"/>
    <w:rsid w:val="00521489"/>
    <w:rsid w:val="0052704B"/>
    <w:rsid w:val="0053396D"/>
    <w:rsid w:val="0053603A"/>
    <w:rsid w:val="005360C9"/>
    <w:rsid w:val="00542DF1"/>
    <w:rsid w:val="005562DA"/>
    <w:rsid w:val="00560610"/>
    <w:rsid w:val="00560F6E"/>
    <w:rsid w:val="005637A8"/>
    <w:rsid w:val="00565EB5"/>
    <w:rsid w:val="00571163"/>
    <w:rsid w:val="00573931"/>
    <w:rsid w:val="00576CE9"/>
    <w:rsid w:val="005863D4"/>
    <w:rsid w:val="005A55CF"/>
    <w:rsid w:val="005B277D"/>
    <w:rsid w:val="005C58CB"/>
    <w:rsid w:val="005D1279"/>
    <w:rsid w:val="005D177F"/>
    <w:rsid w:val="005D3036"/>
    <w:rsid w:val="005D797D"/>
    <w:rsid w:val="005E087E"/>
    <w:rsid w:val="005E7896"/>
    <w:rsid w:val="005F71DF"/>
    <w:rsid w:val="00612A5C"/>
    <w:rsid w:val="00612BA3"/>
    <w:rsid w:val="00631E63"/>
    <w:rsid w:val="0063601D"/>
    <w:rsid w:val="00637F6F"/>
    <w:rsid w:val="006404EA"/>
    <w:rsid w:val="00643492"/>
    <w:rsid w:val="00643876"/>
    <w:rsid w:val="006462F1"/>
    <w:rsid w:val="00654818"/>
    <w:rsid w:val="00656A4A"/>
    <w:rsid w:val="00660D81"/>
    <w:rsid w:val="006638F6"/>
    <w:rsid w:val="00663D7B"/>
    <w:rsid w:val="00666E08"/>
    <w:rsid w:val="00677E45"/>
    <w:rsid w:val="006A74B4"/>
    <w:rsid w:val="006A7D53"/>
    <w:rsid w:val="006B1458"/>
    <w:rsid w:val="006B34FC"/>
    <w:rsid w:val="006B61A0"/>
    <w:rsid w:val="006C2AA1"/>
    <w:rsid w:val="006C3898"/>
    <w:rsid w:val="006D48B7"/>
    <w:rsid w:val="006D65A5"/>
    <w:rsid w:val="006D6C47"/>
    <w:rsid w:val="006E6D21"/>
    <w:rsid w:val="006F0CD1"/>
    <w:rsid w:val="00721962"/>
    <w:rsid w:val="007226C0"/>
    <w:rsid w:val="0072704B"/>
    <w:rsid w:val="00730D98"/>
    <w:rsid w:val="0073114E"/>
    <w:rsid w:val="0073427B"/>
    <w:rsid w:val="00735E86"/>
    <w:rsid w:val="00741CAB"/>
    <w:rsid w:val="00743F4F"/>
    <w:rsid w:val="00744E42"/>
    <w:rsid w:val="0074527B"/>
    <w:rsid w:val="00745407"/>
    <w:rsid w:val="007551C9"/>
    <w:rsid w:val="00773A29"/>
    <w:rsid w:val="00774119"/>
    <w:rsid w:val="00774785"/>
    <w:rsid w:val="00774B43"/>
    <w:rsid w:val="00774C8C"/>
    <w:rsid w:val="0077572E"/>
    <w:rsid w:val="0078465A"/>
    <w:rsid w:val="00785C12"/>
    <w:rsid w:val="007909E3"/>
    <w:rsid w:val="007967AB"/>
    <w:rsid w:val="007A3246"/>
    <w:rsid w:val="007A5070"/>
    <w:rsid w:val="007B01E6"/>
    <w:rsid w:val="007B3361"/>
    <w:rsid w:val="007B3412"/>
    <w:rsid w:val="007B5B28"/>
    <w:rsid w:val="007D2904"/>
    <w:rsid w:val="007E60C4"/>
    <w:rsid w:val="007F0561"/>
    <w:rsid w:val="007F1166"/>
    <w:rsid w:val="007F118A"/>
    <w:rsid w:val="007F54D8"/>
    <w:rsid w:val="00804D6C"/>
    <w:rsid w:val="008068BF"/>
    <w:rsid w:val="00814857"/>
    <w:rsid w:val="00815209"/>
    <w:rsid w:val="008221AE"/>
    <w:rsid w:val="00833239"/>
    <w:rsid w:val="008418E1"/>
    <w:rsid w:val="00842BFE"/>
    <w:rsid w:val="00854609"/>
    <w:rsid w:val="008557B8"/>
    <w:rsid w:val="008561E4"/>
    <w:rsid w:val="00861CFF"/>
    <w:rsid w:val="00873E51"/>
    <w:rsid w:val="0087454B"/>
    <w:rsid w:val="008875EB"/>
    <w:rsid w:val="00890015"/>
    <w:rsid w:val="00897112"/>
    <w:rsid w:val="008D5CA9"/>
    <w:rsid w:val="008D7953"/>
    <w:rsid w:val="008E0206"/>
    <w:rsid w:val="008E1A51"/>
    <w:rsid w:val="008E64E0"/>
    <w:rsid w:val="008F4E49"/>
    <w:rsid w:val="008F7F8E"/>
    <w:rsid w:val="00901F95"/>
    <w:rsid w:val="00912B66"/>
    <w:rsid w:val="0091332E"/>
    <w:rsid w:val="009142A9"/>
    <w:rsid w:val="009160C5"/>
    <w:rsid w:val="009319A4"/>
    <w:rsid w:val="00934AFB"/>
    <w:rsid w:val="00951C21"/>
    <w:rsid w:val="00952DB1"/>
    <w:rsid w:val="00961AA8"/>
    <w:rsid w:val="009752E1"/>
    <w:rsid w:val="00984A5E"/>
    <w:rsid w:val="009943A4"/>
    <w:rsid w:val="009A6D82"/>
    <w:rsid w:val="009B2D78"/>
    <w:rsid w:val="009B7360"/>
    <w:rsid w:val="009C7753"/>
    <w:rsid w:val="009D1FE3"/>
    <w:rsid w:val="009F0281"/>
    <w:rsid w:val="009F0D65"/>
    <w:rsid w:val="00A12A44"/>
    <w:rsid w:val="00A13442"/>
    <w:rsid w:val="00A31001"/>
    <w:rsid w:val="00A311EB"/>
    <w:rsid w:val="00A36BCD"/>
    <w:rsid w:val="00A37B11"/>
    <w:rsid w:val="00A41B07"/>
    <w:rsid w:val="00A4603A"/>
    <w:rsid w:val="00A653FE"/>
    <w:rsid w:val="00A70420"/>
    <w:rsid w:val="00A7466E"/>
    <w:rsid w:val="00A839F3"/>
    <w:rsid w:val="00A86E15"/>
    <w:rsid w:val="00A93DD8"/>
    <w:rsid w:val="00A97493"/>
    <w:rsid w:val="00AA186F"/>
    <w:rsid w:val="00AA5123"/>
    <w:rsid w:val="00AB2D82"/>
    <w:rsid w:val="00AB45DE"/>
    <w:rsid w:val="00AB6492"/>
    <w:rsid w:val="00AD24C4"/>
    <w:rsid w:val="00AE3753"/>
    <w:rsid w:val="00AE3B3D"/>
    <w:rsid w:val="00AF2E2A"/>
    <w:rsid w:val="00B00851"/>
    <w:rsid w:val="00B02472"/>
    <w:rsid w:val="00B10EA0"/>
    <w:rsid w:val="00B11C26"/>
    <w:rsid w:val="00B228C8"/>
    <w:rsid w:val="00B24565"/>
    <w:rsid w:val="00B26DEB"/>
    <w:rsid w:val="00B35B5D"/>
    <w:rsid w:val="00B40272"/>
    <w:rsid w:val="00B43621"/>
    <w:rsid w:val="00B455B9"/>
    <w:rsid w:val="00B47171"/>
    <w:rsid w:val="00B51CC3"/>
    <w:rsid w:val="00B63C53"/>
    <w:rsid w:val="00B6428F"/>
    <w:rsid w:val="00B7062C"/>
    <w:rsid w:val="00B8232D"/>
    <w:rsid w:val="00BB5103"/>
    <w:rsid w:val="00BC5CA1"/>
    <w:rsid w:val="00BC71B6"/>
    <w:rsid w:val="00BD6F7B"/>
    <w:rsid w:val="00BD7299"/>
    <w:rsid w:val="00BE05C6"/>
    <w:rsid w:val="00BE2F13"/>
    <w:rsid w:val="00BF02BA"/>
    <w:rsid w:val="00C05492"/>
    <w:rsid w:val="00C10301"/>
    <w:rsid w:val="00C1673C"/>
    <w:rsid w:val="00C167D4"/>
    <w:rsid w:val="00C25BFC"/>
    <w:rsid w:val="00C31114"/>
    <w:rsid w:val="00C35992"/>
    <w:rsid w:val="00C56E74"/>
    <w:rsid w:val="00C65049"/>
    <w:rsid w:val="00C70087"/>
    <w:rsid w:val="00C71279"/>
    <w:rsid w:val="00C729B0"/>
    <w:rsid w:val="00CA52E3"/>
    <w:rsid w:val="00CA6CA1"/>
    <w:rsid w:val="00CC1EC3"/>
    <w:rsid w:val="00CC2310"/>
    <w:rsid w:val="00CC5E9F"/>
    <w:rsid w:val="00CC6533"/>
    <w:rsid w:val="00CC6761"/>
    <w:rsid w:val="00CC7173"/>
    <w:rsid w:val="00CD0754"/>
    <w:rsid w:val="00CD7DCB"/>
    <w:rsid w:val="00D167B4"/>
    <w:rsid w:val="00D221B2"/>
    <w:rsid w:val="00D348AC"/>
    <w:rsid w:val="00D400DF"/>
    <w:rsid w:val="00D45767"/>
    <w:rsid w:val="00D54420"/>
    <w:rsid w:val="00D60E6E"/>
    <w:rsid w:val="00D62C7C"/>
    <w:rsid w:val="00D64753"/>
    <w:rsid w:val="00D723FC"/>
    <w:rsid w:val="00D86ED3"/>
    <w:rsid w:val="00D90FDF"/>
    <w:rsid w:val="00DA030E"/>
    <w:rsid w:val="00DB158E"/>
    <w:rsid w:val="00DC17D2"/>
    <w:rsid w:val="00DC6401"/>
    <w:rsid w:val="00DE30A5"/>
    <w:rsid w:val="00DE60A2"/>
    <w:rsid w:val="00DF5A1A"/>
    <w:rsid w:val="00DF7669"/>
    <w:rsid w:val="00DF7838"/>
    <w:rsid w:val="00DF7BB3"/>
    <w:rsid w:val="00E03569"/>
    <w:rsid w:val="00E03796"/>
    <w:rsid w:val="00E22545"/>
    <w:rsid w:val="00E27C81"/>
    <w:rsid w:val="00E3037D"/>
    <w:rsid w:val="00E343B5"/>
    <w:rsid w:val="00E35AFD"/>
    <w:rsid w:val="00E46664"/>
    <w:rsid w:val="00E5168D"/>
    <w:rsid w:val="00E55E65"/>
    <w:rsid w:val="00E64837"/>
    <w:rsid w:val="00E666A7"/>
    <w:rsid w:val="00E715E3"/>
    <w:rsid w:val="00E731C2"/>
    <w:rsid w:val="00E74DDD"/>
    <w:rsid w:val="00E756DD"/>
    <w:rsid w:val="00E84A96"/>
    <w:rsid w:val="00E87E42"/>
    <w:rsid w:val="00E9270B"/>
    <w:rsid w:val="00E92E98"/>
    <w:rsid w:val="00E94CFB"/>
    <w:rsid w:val="00E95DB9"/>
    <w:rsid w:val="00E97D75"/>
    <w:rsid w:val="00EA0674"/>
    <w:rsid w:val="00EA5588"/>
    <w:rsid w:val="00EA6B6F"/>
    <w:rsid w:val="00EB38F2"/>
    <w:rsid w:val="00EB6AC8"/>
    <w:rsid w:val="00EB6C90"/>
    <w:rsid w:val="00EC0EFF"/>
    <w:rsid w:val="00EC5DEE"/>
    <w:rsid w:val="00EC74CA"/>
    <w:rsid w:val="00ED367F"/>
    <w:rsid w:val="00EF0BE2"/>
    <w:rsid w:val="00EF1554"/>
    <w:rsid w:val="00EF1596"/>
    <w:rsid w:val="00EF4CD9"/>
    <w:rsid w:val="00F011D9"/>
    <w:rsid w:val="00F03E7A"/>
    <w:rsid w:val="00F1280B"/>
    <w:rsid w:val="00F15A7C"/>
    <w:rsid w:val="00F178F8"/>
    <w:rsid w:val="00F3052D"/>
    <w:rsid w:val="00F32CC4"/>
    <w:rsid w:val="00F456C0"/>
    <w:rsid w:val="00F45B5A"/>
    <w:rsid w:val="00F47F14"/>
    <w:rsid w:val="00F61C95"/>
    <w:rsid w:val="00F63DF1"/>
    <w:rsid w:val="00F65238"/>
    <w:rsid w:val="00F674EC"/>
    <w:rsid w:val="00F70473"/>
    <w:rsid w:val="00F7677B"/>
    <w:rsid w:val="00F8069D"/>
    <w:rsid w:val="00F91BA0"/>
    <w:rsid w:val="00F97E78"/>
    <w:rsid w:val="00FA31BE"/>
    <w:rsid w:val="00FA5866"/>
    <w:rsid w:val="00FB188B"/>
    <w:rsid w:val="00FC64C9"/>
    <w:rsid w:val="00FC6DCC"/>
    <w:rsid w:val="00FE126D"/>
    <w:rsid w:val="00FE5BDD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4F3F"/>
  <w15:docId w15:val="{B2D856C4-1476-4A29-BAC3-A959A4A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2B8"/>
    <w:pPr>
      <w:spacing w:before="120" w:after="120"/>
    </w:pPr>
    <w:rPr>
      <w:rFonts w:ascii="Arial" w:hAnsi="Arial" w:cs="Arial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070"/>
    <w:pPr>
      <w:spacing w:before="360"/>
      <w:outlineLvl w:val="0"/>
    </w:pPr>
    <w:rPr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609"/>
  </w:style>
  <w:style w:type="paragraph" w:styleId="Stopka">
    <w:name w:val="footer"/>
    <w:basedOn w:val="Normalny"/>
    <w:link w:val="StopkaZnak"/>
    <w:uiPriority w:val="99"/>
    <w:unhideWhenUsed/>
    <w:rsid w:val="0085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609"/>
  </w:style>
  <w:style w:type="paragraph" w:styleId="Akapitzlist">
    <w:name w:val="List Paragraph"/>
    <w:aliases w:val="Sl_Akapit z listą,maz_wyliczenie,opis dzialania,K-P_odwolanie,A_wyliczenie,Akapit z listą 1,Table of contents numbered,Akapit z listą5,Akapit z listą5CxSpLast,Tekst punktowanie,Numerowanie,List Paragraph,BulletC,Akapit z listą BS,CW_Lista"/>
    <w:basedOn w:val="Normalny"/>
    <w:link w:val="AkapitzlistZnak"/>
    <w:uiPriority w:val="34"/>
    <w:qFormat/>
    <w:rsid w:val="006B61A0"/>
    <w:pPr>
      <w:spacing w:before="60" w:after="60" w:line="360" w:lineRule="auto"/>
      <w:ind w:left="720"/>
      <w:contextualSpacing/>
      <w:jc w:val="both"/>
    </w:pPr>
    <w:rPr>
      <w:rFonts w:eastAsia="Times New Roman" w:cs="Times New Roman"/>
      <w:color w:val="000000"/>
      <w:szCs w:val="24"/>
    </w:rPr>
  </w:style>
  <w:style w:type="character" w:customStyle="1" w:styleId="AkapitzlistZnak">
    <w:name w:val="Akapit z listą Znak"/>
    <w:aliases w:val="Sl_Akapit z listą Znak,maz_wyliczenie Znak,opis dzialania Znak,K-P_odwolanie Znak,A_wyliczenie Znak,Akapit z listą 1 Znak,Table of contents numbered Znak,Akapit z listą5 Znak,Akapit z listą5CxSpLast Znak,Tekst punktowanie Znak"/>
    <w:link w:val="Akapitzlist"/>
    <w:uiPriority w:val="34"/>
    <w:qFormat/>
    <w:locked/>
    <w:rsid w:val="006B61A0"/>
    <w:rPr>
      <w:rFonts w:ascii="Arial" w:eastAsia="Times New Roman" w:hAnsi="Arial" w:cs="Times New Roman"/>
      <w:color w:val="000000"/>
      <w:szCs w:val="24"/>
    </w:rPr>
  </w:style>
  <w:style w:type="paragraph" w:styleId="Tekstprzypisudolnego">
    <w:name w:val="footnote text"/>
    <w:aliases w:val="Podrozdział,Tekst przypisu,-E Fuﬂnotentext,Fuﬂnotentext Ursprung,Fußnotentext Ursprung,-E Fußnotentext,Fußnote,Footnote,Podrozdzia3,Footnote text,Tekst przypisu Znak Znak Znak Znak,Znak,FOOTNOTES,o,fn,Znak Znak,Tekst przypisu Znak"/>
    <w:basedOn w:val="Normalny"/>
    <w:link w:val="TekstprzypisudolnegoZnak"/>
    <w:uiPriority w:val="99"/>
    <w:unhideWhenUsed/>
    <w:qFormat/>
    <w:rsid w:val="006B61A0"/>
    <w:pPr>
      <w:spacing w:after="0" w:line="240" w:lineRule="auto"/>
      <w:jc w:val="both"/>
    </w:pPr>
    <w:rPr>
      <w:rFonts w:eastAsia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aliases w:val="Podrozdział Znak,Tekst przypisu Znak1,-E Fuﬂnotentext Znak,Fuﬂnotentext Ursprung Znak,Fußnotentext Ursprung Znak,-E Fußnotentext Znak,Fußnote Znak,Footnote Znak,Podrozdzia3 Znak,Footnote text Znak,Znak Znak1,FOOTNOTES Znak"/>
    <w:basedOn w:val="Domylnaczcionkaakapitu"/>
    <w:link w:val="Tekstprzypisudolnego"/>
    <w:uiPriority w:val="99"/>
    <w:rsid w:val="006B61A0"/>
    <w:rPr>
      <w:rFonts w:ascii="Arial" w:eastAsia="Times New Roman" w:hAnsi="Arial" w:cs="Times New Roman"/>
      <w:color w:val="000000"/>
      <w:sz w:val="20"/>
      <w:szCs w:val="20"/>
    </w:rPr>
  </w:style>
  <w:style w:type="character" w:styleId="Odwoanieprzypisudolnego">
    <w:name w:val="footnote reference"/>
    <w:aliases w:val="SUPERS,Footnote Reference Number,Odwołanie przypisu,Footnote symbol,Footnote reference number,note TESI,EN Footnote Reference,Footnote number,Ref,de nota al pie,Odwo3anie przypisu,Times 10 Point,Exposant 3 Point,number,16 Poi"/>
    <w:basedOn w:val="Domylnaczcionkaakapitu"/>
    <w:uiPriority w:val="99"/>
    <w:unhideWhenUsed/>
    <w:qFormat/>
    <w:rsid w:val="006B61A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5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5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5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55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5B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A5070"/>
    <w:rPr>
      <w:rFonts w:ascii="Arial" w:hAnsi="Arial" w:cs="Arial"/>
      <w:b/>
      <w:bCs/>
      <w:sz w:val="28"/>
      <w:szCs w:val="32"/>
      <w:lang w:eastAsia="ja-JP"/>
    </w:rPr>
  </w:style>
  <w:style w:type="table" w:styleId="Tabela-Siatka">
    <w:name w:val="Table Grid"/>
    <w:basedOn w:val="Standardowy"/>
    <w:uiPriority w:val="39"/>
    <w:rsid w:val="006F0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34AE"/>
    <w:pPr>
      <w:spacing w:after="0" w:line="240" w:lineRule="auto"/>
    </w:pPr>
    <w:rPr>
      <w:rFonts w:ascii="Arial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916d2e4fac781d66664efee0af338e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535e07d132ca140cd11ad3eb5a17d9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916d2e4fac781d66664efee0af338e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535e07d132ca140cd11ad3eb5a17d9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916d2e4fac781d66664efee0af338e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535e07d132ca140cd11ad3eb5a17d9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AA98-8F81-49CA-AE0C-0D6259E5DCC0}">
  <ds:schemaRefs>
    <ds:schemaRef ds:uri="d4f64a22-a125-4b7a-afce-4a30c86a8f7c"/>
    <ds:schemaRef ds:uri="http://schemas.microsoft.com/office/infopath/2007/PartnerControls"/>
    <ds:schemaRef ds:uri="http://purl.org/dc/terms/"/>
    <ds:schemaRef ds:uri="http://purl.org/dc/dcmitype/"/>
    <ds:schemaRef ds:uri="d47a4560-aee9-43e8-973f-2abd655c26a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AF37FD-54DF-4F47-8BAB-C721F803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351F8-9F68-4620-A46C-79E8D1E80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50B43-C072-4832-8A89-70A284A6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48FCF4-195A-4722-8A08-E0D5D3187F7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CFF394-0577-4CEB-B565-56F2FD9E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3250</Words>
  <Characters>19501</Characters>
  <Application>Microsoft Office Word</Application>
  <DocSecurity>4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Broszura Ewaluacja OP I wersja tekstowa</vt:lpstr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Broszura Ewaluacja OP I wersja tekstowa</dc:title>
  <dc:creator>Malgorzata Kachniarz</dc:creator>
  <cp:lastModifiedBy>Urząd Marszałkowski Województwa Śląskiego</cp:lastModifiedBy>
  <cp:revision>2</cp:revision>
  <dcterms:created xsi:type="dcterms:W3CDTF">2022-04-21T07:55:00Z</dcterms:created>
  <dcterms:modified xsi:type="dcterms:W3CDTF">2022-04-21T07:55:00Z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