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7" w:type="dxa"/>
        <w:tblInd w:w="-5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735"/>
        <w:gridCol w:w="234"/>
        <w:gridCol w:w="1276"/>
        <w:gridCol w:w="2367"/>
        <w:gridCol w:w="37"/>
      </w:tblGrid>
      <w:tr w:rsidR="00B000BE" w:rsidRPr="002155D8" w14:paraId="42F82E97" w14:textId="77777777" w:rsidTr="00E91589">
        <w:trPr>
          <w:trHeight w:val="1417"/>
        </w:trPr>
        <w:tc>
          <w:tcPr>
            <w:tcW w:w="9067" w:type="dxa"/>
            <w:gridSpan w:val="6"/>
          </w:tcPr>
          <w:p w14:paraId="743F7F01" w14:textId="11D3D961" w:rsidR="00384EAB" w:rsidRPr="00E91589" w:rsidRDefault="00B000BE" w:rsidP="00E91589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9164F6">
              <w:rPr>
                <w:rFonts w:eastAsia="Calibri" w:cstheme="minorHAnsi"/>
                <w:i/>
                <w:iCs/>
                <w:smallCaps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203FFB" wp14:editId="184237E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25400</wp:posOffset>
                  </wp:positionV>
                  <wp:extent cx="5746115" cy="563880"/>
                  <wp:effectExtent l="0" t="0" r="6985" b="7620"/>
                  <wp:wrapSquare wrapText="bothSides"/>
                  <wp:docPr id="16" name="Obraz 16" descr="Ciąg logotypów: Fundusze Europejskie - Program Regionalny; Rzeczpospolita Polska, Województwo Śląskie; Unia Europejska - Europejskie Fundusze Strukturalne i Inwestycyj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6" descr="Ciąg logotypów: Fundusze Europejskie - Program Regionalny; Rzeczpospolita Polska, Województwo Śląskie; Unia Europejska - Europejskie Fundusze Strukturalne i Inwestycyj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11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64F6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 xml:space="preserve">Projekt współfinansowany przez Unię Europejską ze środków Europejskiego Funduszu Społecznego </w:t>
            </w:r>
            <w:r w:rsidRPr="009164F6">
              <w:rPr>
                <w:rFonts w:cstheme="minorHAnsi"/>
                <w:i/>
                <w:iCs/>
                <w:sz w:val="18"/>
                <w:szCs w:val="18"/>
              </w:rPr>
              <w:br/>
            </w:r>
            <w:r w:rsidRPr="009164F6">
              <w:rPr>
                <w:rStyle w:val="markedcontent"/>
                <w:rFonts w:cstheme="minorHAnsi"/>
                <w:i/>
                <w:iCs/>
                <w:sz w:val="18"/>
                <w:szCs w:val="18"/>
              </w:rPr>
              <w:t>w ramach Regionalnego Programu Operacyjnego Województwa Śląskiego na lata2014-2020</w:t>
            </w:r>
          </w:p>
        </w:tc>
      </w:tr>
      <w:tr w:rsidR="007751D9" w:rsidRPr="002155D8" w14:paraId="5C42BD87" w14:textId="77777777" w:rsidTr="004612A9">
        <w:trPr>
          <w:trHeight w:val="1267"/>
        </w:trPr>
        <w:tc>
          <w:tcPr>
            <w:tcW w:w="6663" w:type="dxa"/>
            <w:gridSpan w:val="4"/>
            <w:shd w:val="clear" w:color="auto" w:fill="EDEDED" w:themeFill="accent3" w:themeFillTint="33"/>
            <w:vAlign w:val="center"/>
          </w:tcPr>
          <w:p w14:paraId="138AFB04" w14:textId="18CD6178" w:rsidR="001B4BFF" w:rsidRPr="00685663" w:rsidRDefault="001B4BFF" w:rsidP="00437305">
            <w:pPr>
              <w:contextualSpacing/>
              <w:jc w:val="center"/>
              <w:rPr>
                <w:rFonts w:cstheme="minorHAnsi"/>
                <w:b/>
                <w:bCs/>
                <w:smallCaps/>
                <w:sz w:val="16"/>
                <w:szCs w:val="16"/>
                <w:lang w:eastAsia="ja-JP"/>
              </w:rPr>
            </w:pPr>
            <w:r w:rsidRPr="00685663">
              <w:rPr>
                <w:rFonts w:cstheme="minorHAnsi"/>
                <w:b/>
                <w:bCs/>
                <w:smallCaps/>
                <w:lang w:eastAsia="ja-JP"/>
              </w:rPr>
              <w:t xml:space="preserve">Ewaluacja dotycząca sposobu, w jaki wsparcie w ramach RPO WSL na lata 2014-2020 przyczyniło się do osiągnięcia celów w ramach osi priorytetowej </w:t>
            </w:r>
            <w:r w:rsidR="00437305" w:rsidRPr="00685663">
              <w:rPr>
                <w:rFonts w:cstheme="minorHAnsi"/>
                <w:b/>
                <w:bCs/>
                <w:smallCaps/>
                <w:lang w:eastAsia="ja-JP"/>
              </w:rPr>
              <w:t>IV efektywność energetyczna, odnawialne źródła energii i gospodarka niskoemisyjna</w:t>
            </w:r>
          </w:p>
        </w:tc>
        <w:tc>
          <w:tcPr>
            <w:tcW w:w="2404" w:type="dxa"/>
            <w:gridSpan w:val="2"/>
            <w:shd w:val="clear" w:color="auto" w:fill="FFFF66"/>
            <w:vAlign w:val="center"/>
          </w:tcPr>
          <w:p w14:paraId="2B00E44A" w14:textId="11B7DAE7" w:rsidR="006C6600" w:rsidRPr="00685663" w:rsidRDefault="00C834D3" w:rsidP="00C834D3">
            <w:pPr>
              <w:spacing w:line="259" w:lineRule="auto"/>
              <w:rPr>
                <w:rFonts w:cs="Arial"/>
                <w:b/>
                <w:bCs/>
                <w:smallCaps/>
                <w:lang w:eastAsia="ja-JP"/>
              </w:rPr>
            </w:pPr>
            <w:r w:rsidRPr="00685663">
              <w:rPr>
                <w:rFonts w:cs="Arial"/>
                <w:b/>
                <w:bCs/>
                <w:smallCaps/>
                <w:lang w:eastAsia="ja-JP"/>
              </w:rPr>
              <w:t>Wybrane wyniki badania</w:t>
            </w:r>
          </w:p>
        </w:tc>
      </w:tr>
      <w:tr w:rsidR="00CB3137" w:rsidRPr="002155D8" w14:paraId="015BD0CF" w14:textId="77777777" w:rsidTr="004612A9">
        <w:trPr>
          <w:gridAfter w:val="1"/>
          <w:wAfter w:w="37" w:type="dxa"/>
          <w:trHeight w:val="360"/>
        </w:trPr>
        <w:tc>
          <w:tcPr>
            <w:tcW w:w="1418" w:type="dxa"/>
            <w:vMerge w:val="restart"/>
            <w:shd w:val="clear" w:color="auto" w:fill="FFFF66"/>
            <w:vAlign w:val="center"/>
          </w:tcPr>
          <w:p w14:paraId="18EC6DE7" w14:textId="1D589F74" w:rsidR="00CB3137" w:rsidRPr="002155D8" w:rsidRDefault="00CB3137" w:rsidP="00A64DD1">
            <w:pPr>
              <w:contextualSpacing/>
              <w:rPr>
                <w:rFonts w:ascii="Arial" w:hAnsi="Arial" w:cs="Arial"/>
                <w:lang w:eastAsia="ja-JP"/>
              </w:rPr>
            </w:pPr>
            <w:r w:rsidRPr="00CB3137"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  <w:t>Zakres wsparcia</w:t>
            </w:r>
          </w:p>
        </w:tc>
        <w:tc>
          <w:tcPr>
            <w:tcW w:w="3969" w:type="dxa"/>
            <w:gridSpan w:val="2"/>
            <w:vAlign w:val="center"/>
          </w:tcPr>
          <w:p w14:paraId="6DE8FA3E" w14:textId="3BB63FFD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  <w:r w:rsidRPr="00437305">
              <w:rPr>
                <w:rFonts w:cs="Arial"/>
                <w:sz w:val="16"/>
                <w:szCs w:val="16"/>
                <w:lang w:eastAsia="ja-JP"/>
              </w:rPr>
              <w:t xml:space="preserve">Budowa jednostek wytwarzania energii elektrycznej i cieplnej z OZE [Działanie 4.1]  </w:t>
            </w:r>
          </w:p>
        </w:tc>
        <w:tc>
          <w:tcPr>
            <w:tcW w:w="1276" w:type="dxa"/>
            <w:vMerge w:val="restart"/>
            <w:shd w:val="clear" w:color="auto" w:fill="FFFF66"/>
            <w:vAlign w:val="center"/>
          </w:tcPr>
          <w:p w14:paraId="2A5CC33F" w14:textId="3B712225" w:rsidR="00CB3137" w:rsidRPr="00CB3137" w:rsidRDefault="00CB3137" w:rsidP="00A64DD1">
            <w:pPr>
              <w:rPr>
                <w:rFonts w:cstheme="minorHAnsi"/>
                <w:sz w:val="14"/>
                <w:szCs w:val="14"/>
                <w:lang w:eastAsia="ja-JP"/>
              </w:rPr>
            </w:pPr>
            <w:r w:rsidRPr="00CB3137">
              <w:rPr>
                <w:rFonts w:cs="Arial"/>
                <w:b/>
                <w:bCs/>
                <w:smallCaps/>
                <w:szCs w:val="20"/>
                <w:lang w:eastAsia="ja-JP"/>
              </w:rPr>
              <w:t>Kluczowe efekty</w:t>
            </w:r>
            <w:r w:rsidRPr="00CB3137">
              <w:rPr>
                <w:rFonts w:cstheme="minorHAnsi"/>
                <w:sz w:val="14"/>
                <w:szCs w:val="14"/>
                <w:lang w:eastAsia="ja-JP"/>
              </w:rPr>
              <w:t xml:space="preserve"> </w:t>
            </w:r>
          </w:p>
          <w:p w14:paraId="0A24CB6B" w14:textId="31842B69" w:rsidR="00CB3137" w:rsidRPr="00CB3137" w:rsidRDefault="00CB3137" w:rsidP="00A64DD1">
            <w:pPr>
              <w:rPr>
                <w:rFonts w:cstheme="minorHAnsi"/>
                <w:sz w:val="16"/>
                <w:szCs w:val="16"/>
                <w:lang w:eastAsia="ja-JP"/>
              </w:rPr>
            </w:pPr>
          </w:p>
        </w:tc>
        <w:tc>
          <w:tcPr>
            <w:tcW w:w="2367" w:type="dxa"/>
            <w:vMerge w:val="restart"/>
            <w:vAlign w:val="center"/>
          </w:tcPr>
          <w:p w14:paraId="1E663680" w14:textId="2D0F97A1" w:rsidR="00A64DD1" w:rsidRPr="00FB2528" w:rsidRDefault="00704FA9" w:rsidP="00A64DD1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W</w:t>
            </w:r>
            <w:r w:rsidR="00A64DD1" w:rsidRPr="00FB252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zrost</w:t>
            </w:r>
            <w:r w:rsidR="00CB3137" w:rsidRPr="00FB252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produkcji energii z OZE</w:t>
            </w:r>
            <w:r w:rsidR="00FB2528" w:rsidRPr="00FB252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i </w:t>
            </w:r>
            <w:r w:rsidR="00A64DD1" w:rsidRPr="00FB252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produkcji energii w kogeneracji</w:t>
            </w:r>
          </w:p>
          <w:p w14:paraId="383F8688" w14:textId="7F51A0B9" w:rsidR="00CB3137" w:rsidRDefault="00704FA9" w:rsidP="00A64DD1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Z</w:t>
            </w:r>
            <w:r w:rsidR="00A64DD1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mniejszenie </w:t>
            </w:r>
            <w:r w:rsidR="00FB252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zużycia energii</w:t>
            </w:r>
            <w:r w:rsidR="00CB3137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w sektorze publicznym i mieszkaniowym</w:t>
            </w:r>
            <w:r w:rsidR="005477BC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– poprawa efektywności energetycznej</w:t>
            </w:r>
          </w:p>
          <w:p w14:paraId="4A1E2EE6" w14:textId="1BEE016A" w:rsidR="00A64DD1" w:rsidRDefault="00704FA9" w:rsidP="00A64DD1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</w:t>
            </w:r>
            <w:r w:rsidR="00CB3137" w:rsidRPr="00437305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graniczenie </w:t>
            </w:r>
            <w:r w:rsidR="00CB3137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emisji pyłów</w:t>
            </w:r>
            <w:r w:rsidR="00A64DD1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– poprawa jakości powietrza</w:t>
            </w:r>
          </w:p>
          <w:p w14:paraId="0E5F841C" w14:textId="1950DC90" w:rsidR="00A64DD1" w:rsidRPr="00FB2528" w:rsidRDefault="00704FA9" w:rsidP="00FB2528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</w:t>
            </w:r>
            <w:r w:rsidR="00CB3137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graniczenie emisji CO</w:t>
            </w:r>
            <w:r w:rsidR="00CB3137" w:rsidRPr="00A64DD1">
              <w:rPr>
                <w:rFonts w:asciiTheme="minorHAnsi" w:hAnsiTheme="minorHAnsi" w:cstheme="minorHAnsi"/>
                <w:sz w:val="16"/>
                <w:szCs w:val="16"/>
                <w:vertAlign w:val="subscript"/>
                <w:lang w:eastAsia="ja-JP"/>
              </w:rPr>
              <w:t>2</w:t>
            </w:r>
            <w:r w:rsidR="00A64DD1">
              <w:rPr>
                <w:rFonts w:asciiTheme="minorHAnsi" w:hAnsiTheme="minorHAnsi" w:cstheme="minorHAnsi"/>
                <w:sz w:val="16"/>
                <w:szCs w:val="16"/>
                <w:vertAlign w:val="subscript"/>
                <w:lang w:eastAsia="ja-JP"/>
              </w:rPr>
              <w:t xml:space="preserve"> </w:t>
            </w:r>
            <w:r w:rsidR="00A64DD1" w:rsidRPr="00A64DD1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– ochrona klimatu</w:t>
            </w:r>
          </w:p>
        </w:tc>
      </w:tr>
      <w:tr w:rsidR="00CB3137" w:rsidRPr="002155D8" w14:paraId="48D9BCA3" w14:textId="77777777" w:rsidTr="004612A9">
        <w:trPr>
          <w:gridAfter w:val="1"/>
          <w:wAfter w:w="37" w:type="dxa"/>
          <w:trHeight w:val="360"/>
        </w:trPr>
        <w:tc>
          <w:tcPr>
            <w:tcW w:w="1418" w:type="dxa"/>
            <w:vMerge/>
            <w:shd w:val="clear" w:color="auto" w:fill="FFFF66"/>
            <w:vAlign w:val="center"/>
          </w:tcPr>
          <w:p w14:paraId="051D81AF" w14:textId="77777777" w:rsidR="00CB3137" w:rsidRPr="00687679" w:rsidRDefault="00CB3137" w:rsidP="00A64DD1">
            <w:pPr>
              <w:contextualSpacing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8E8A542" w14:textId="11BEF93D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  <w:r w:rsidRPr="00437305">
              <w:rPr>
                <w:rFonts w:cs="Arial"/>
                <w:sz w:val="16"/>
                <w:szCs w:val="16"/>
                <w:lang w:eastAsia="ja-JP"/>
              </w:rPr>
              <w:t>Termomodernizacja budynków publicznych i mieszkalnych</w:t>
            </w:r>
            <w:r>
              <w:rPr>
                <w:rFonts w:cs="Arial"/>
                <w:sz w:val="16"/>
                <w:szCs w:val="16"/>
                <w:lang w:eastAsia="ja-JP"/>
              </w:rPr>
              <w:t>,</w:t>
            </w:r>
            <w:r w:rsidRPr="00437305">
              <w:rPr>
                <w:rFonts w:cs="Arial"/>
                <w:sz w:val="16"/>
                <w:szCs w:val="16"/>
                <w:lang w:eastAsia="ja-JP"/>
              </w:rPr>
              <w:t xml:space="preserve"> wymiana źródeł ciepła </w:t>
            </w:r>
            <w:r>
              <w:rPr>
                <w:rFonts w:cs="Arial"/>
                <w:sz w:val="16"/>
                <w:szCs w:val="16"/>
                <w:lang w:eastAsia="ja-JP"/>
              </w:rPr>
              <w:t>i podłączenie do sieci ciepłowniczej</w:t>
            </w:r>
            <w:r w:rsidRPr="00437305">
              <w:rPr>
                <w:rFonts w:cs="Arial"/>
                <w:sz w:val="16"/>
                <w:szCs w:val="16"/>
                <w:lang w:eastAsia="ja-JP"/>
              </w:rPr>
              <w:t xml:space="preserve"> [Działanie 4.3] </w:t>
            </w:r>
          </w:p>
        </w:tc>
        <w:tc>
          <w:tcPr>
            <w:tcW w:w="1276" w:type="dxa"/>
            <w:vMerge/>
            <w:shd w:val="clear" w:color="auto" w:fill="FFFF66"/>
            <w:vAlign w:val="center"/>
          </w:tcPr>
          <w:p w14:paraId="6CD15A2E" w14:textId="77777777" w:rsidR="00CB3137" w:rsidRPr="00437305" w:rsidRDefault="00CB3137" w:rsidP="00A64DD1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</w:p>
        </w:tc>
        <w:tc>
          <w:tcPr>
            <w:tcW w:w="2367" w:type="dxa"/>
            <w:vMerge/>
            <w:vAlign w:val="center"/>
          </w:tcPr>
          <w:p w14:paraId="5804BD29" w14:textId="4B75447D" w:rsidR="00CB3137" w:rsidRPr="00437305" w:rsidRDefault="00CB3137" w:rsidP="00A64DD1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270" w:hanging="270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</w:p>
        </w:tc>
      </w:tr>
      <w:tr w:rsidR="00CB3137" w:rsidRPr="002155D8" w14:paraId="7597CAD7" w14:textId="77777777" w:rsidTr="004612A9">
        <w:trPr>
          <w:gridAfter w:val="1"/>
          <w:wAfter w:w="37" w:type="dxa"/>
          <w:trHeight w:val="360"/>
        </w:trPr>
        <w:tc>
          <w:tcPr>
            <w:tcW w:w="1418" w:type="dxa"/>
            <w:vMerge/>
            <w:shd w:val="clear" w:color="auto" w:fill="FFFF66"/>
            <w:vAlign w:val="center"/>
          </w:tcPr>
          <w:p w14:paraId="6426A4E3" w14:textId="77777777" w:rsidR="00CB3137" w:rsidRPr="00687679" w:rsidRDefault="00CB3137" w:rsidP="00A64DD1">
            <w:pPr>
              <w:contextualSpacing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D42C199" w14:textId="477ADD4C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  <w:r w:rsidRPr="00437305">
              <w:rPr>
                <w:rFonts w:cs="Arial"/>
                <w:sz w:val="16"/>
                <w:szCs w:val="16"/>
                <w:lang w:eastAsia="ja-JP"/>
              </w:rPr>
              <w:t xml:space="preserve">Budowa jednostek wysokosprawnej kogeneracji [Działanie 4.4] </w:t>
            </w:r>
          </w:p>
        </w:tc>
        <w:tc>
          <w:tcPr>
            <w:tcW w:w="1276" w:type="dxa"/>
            <w:vMerge/>
            <w:shd w:val="clear" w:color="auto" w:fill="FFFF66"/>
            <w:vAlign w:val="center"/>
          </w:tcPr>
          <w:p w14:paraId="09C7A799" w14:textId="77777777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2367" w:type="dxa"/>
            <w:vMerge/>
            <w:vAlign w:val="center"/>
          </w:tcPr>
          <w:p w14:paraId="399072FB" w14:textId="3F570E2D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B3137" w:rsidRPr="002155D8" w14:paraId="39AC5471" w14:textId="77777777" w:rsidTr="004612A9">
        <w:trPr>
          <w:gridAfter w:val="1"/>
          <w:wAfter w:w="37" w:type="dxa"/>
          <w:trHeight w:val="229"/>
        </w:trPr>
        <w:tc>
          <w:tcPr>
            <w:tcW w:w="1418" w:type="dxa"/>
            <w:vMerge/>
            <w:shd w:val="clear" w:color="auto" w:fill="FFFF66"/>
            <w:vAlign w:val="center"/>
          </w:tcPr>
          <w:p w14:paraId="5B4D9B21" w14:textId="77777777" w:rsidR="00CB3137" w:rsidRPr="00687679" w:rsidRDefault="00CB3137" w:rsidP="00A64DD1">
            <w:pPr>
              <w:contextualSpacing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CE3FB5E" w14:textId="77777777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Wymiana oświetlenia ulicznego na energooszczędne </w:t>
            </w:r>
            <w:r w:rsidRPr="00437305">
              <w:rPr>
                <w:rFonts w:cs="Arial"/>
                <w:sz w:val="16"/>
                <w:szCs w:val="16"/>
                <w:lang w:eastAsia="ja-JP"/>
              </w:rPr>
              <w:t>[Działanie 4.</w:t>
            </w:r>
            <w:r>
              <w:rPr>
                <w:rFonts w:cs="Arial"/>
                <w:sz w:val="16"/>
                <w:szCs w:val="16"/>
                <w:lang w:eastAsia="ja-JP"/>
              </w:rPr>
              <w:t>5</w:t>
            </w:r>
            <w:r w:rsidRPr="00437305">
              <w:rPr>
                <w:rFonts w:cs="Arial"/>
                <w:sz w:val="16"/>
                <w:szCs w:val="16"/>
                <w:lang w:eastAsia="ja-JP"/>
              </w:rPr>
              <w:t>]</w:t>
            </w:r>
          </w:p>
        </w:tc>
        <w:tc>
          <w:tcPr>
            <w:tcW w:w="1276" w:type="dxa"/>
            <w:vMerge/>
            <w:shd w:val="clear" w:color="auto" w:fill="FFFF66"/>
            <w:vAlign w:val="center"/>
          </w:tcPr>
          <w:p w14:paraId="6B0F26F9" w14:textId="77777777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2367" w:type="dxa"/>
            <w:vMerge/>
            <w:vAlign w:val="center"/>
          </w:tcPr>
          <w:p w14:paraId="4B453919" w14:textId="745E91E0" w:rsidR="00CB3137" w:rsidRPr="00437305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B3137" w:rsidRPr="002155D8" w14:paraId="5B69B58C" w14:textId="77777777" w:rsidTr="004612A9">
        <w:trPr>
          <w:gridAfter w:val="1"/>
          <w:wAfter w:w="37" w:type="dxa"/>
          <w:trHeight w:val="228"/>
        </w:trPr>
        <w:tc>
          <w:tcPr>
            <w:tcW w:w="1418" w:type="dxa"/>
            <w:vMerge/>
            <w:shd w:val="clear" w:color="auto" w:fill="FFFF66"/>
            <w:vAlign w:val="center"/>
          </w:tcPr>
          <w:p w14:paraId="00AFA0B1" w14:textId="77777777" w:rsidR="00CB3137" w:rsidRPr="00687679" w:rsidRDefault="00CB3137" w:rsidP="00A64DD1">
            <w:pPr>
              <w:contextualSpacing/>
              <w:rPr>
                <w:rFonts w:ascii="Arial" w:hAnsi="Arial" w:cs="Arial"/>
                <w:b/>
                <w:bCs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32C5452" w14:textId="0BC6A084" w:rsidR="00CB3137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Wymiana indywidualnych źródeł ciepła [Działanie 4.6]</w:t>
            </w:r>
          </w:p>
        </w:tc>
        <w:tc>
          <w:tcPr>
            <w:tcW w:w="1276" w:type="dxa"/>
            <w:vMerge/>
            <w:shd w:val="clear" w:color="auto" w:fill="FFFF66"/>
            <w:vAlign w:val="center"/>
          </w:tcPr>
          <w:p w14:paraId="3A1FE345" w14:textId="77777777" w:rsidR="00CB3137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2367" w:type="dxa"/>
            <w:vMerge/>
            <w:vAlign w:val="center"/>
          </w:tcPr>
          <w:p w14:paraId="6CB44937" w14:textId="36BADF93" w:rsidR="00CB3137" w:rsidRDefault="00CB3137" w:rsidP="00A64DD1">
            <w:pPr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C38C9" w:rsidRPr="002155D8" w14:paraId="4DDFAE21" w14:textId="77777777" w:rsidTr="004612A9">
        <w:trPr>
          <w:gridAfter w:val="1"/>
          <w:wAfter w:w="37" w:type="dxa"/>
          <w:trHeight w:val="482"/>
        </w:trPr>
        <w:tc>
          <w:tcPr>
            <w:tcW w:w="6663" w:type="dxa"/>
            <w:gridSpan w:val="4"/>
            <w:shd w:val="clear" w:color="auto" w:fill="EDEDED" w:themeFill="accent3" w:themeFillTint="33"/>
            <w:vAlign w:val="center"/>
          </w:tcPr>
          <w:p w14:paraId="0AA04681" w14:textId="061E1AB3" w:rsidR="009164F6" w:rsidRDefault="000C38C9" w:rsidP="00874B88">
            <w:pPr>
              <w:spacing w:line="259" w:lineRule="auto"/>
              <w:ind w:left="63"/>
              <w:rPr>
                <w:rFonts w:cstheme="minorHAnsi"/>
                <w:sz w:val="16"/>
                <w:szCs w:val="16"/>
                <w:lang w:eastAsia="ja-JP"/>
              </w:rPr>
            </w:pPr>
            <w:r>
              <w:rPr>
                <w:rFonts w:cstheme="minorHAnsi"/>
                <w:sz w:val="16"/>
                <w:szCs w:val="16"/>
                <w:lang w:eastAsia="ja-JP"/>
              </w:rPr>
              <w:t>Blisko</w:t>
            </w:r>
            <w:r w:rsidRPr="00874B88">
              <w:rPr>
                <w:rFonts w:cstheme="minorHAnsi"/>
                <w:sz w:val="16"/>
                <w:szCs w:val="16"/>
                <w:lang w:eastAsia="ja-JP"/>
              </w:rPr>
              <w:t xml:space="preserve"> </w:t>
            </w:r>
            <w:r w:rsidRPr="009164F6">
              <w:rPr>
                <w:rFonts w:cstheme="minorHAnsi"/>
                <w:b/>
                <w:bCs/>
                <w:sz w:val="16"/>
                <w:szCs w:val="16"/>
                <w:lang w:eastAsia="ja-JP"/>
              </w:rPr>
              <w:t>750 projektów</w:t>
            </w:r>
            <w:r w:rsidRPr="00874B88">
              <w:rPr>
                <w:rFonts w:cstheme="minorHAnsi"/>
                <w:sz w:val="16"/>
                <w:szCs w:val="16"/>
                <w:lang w:eastAsia="ja-JP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eastAsia="ja-JP"/>
              </w:rPr>
              <w:t>dofinansowanych z</w:t>
            </w:r>
            <w:r w:rsidR="00E91589">
              <w:rPr>
                <w:rFonts w:cstheme="minorHAnsi"/>
                <w:sz w:val="16"/>
                <w:szCs w:val="16"/>
                <w:lang w:eastAsia="ja-JP"/>
              </w:rPr>
              <w:t>e</w:t>
            </w:r>
            <w:r>
              <w:rPr>
                <w:rFonts w:cstheme="minorHAnsi"/>
                <w:sz w:val="16"/>
                <w:szCs w:val="16"/>
                <w:lang w:eastAsia="ja-JP"/>
              </w:rPr>
              <w:t xml:space="preserve"> środków UE na kwotę ok. </w:t>
            </w:r>
            <w:r w:rsidRPr="009164F6">
              <w:rPr>
                <w:rFonts w:cstheme="minorHAnsi"/>
                <w:b/>
                <w:bCs/>
                <w:sz w:val="16"/>
                <w:szCs w:val="16"/>
                <w:lang w:eastAsia="ja-JP"/>
              </w:rPr>
              <w:t>1,65 mld PLN</w:t>
            </w:r>
            <w:r w:rsidRPr="00874B88">
              <w:rPr>
                <w:rFonts w:cstheme="minorHAnsi"/>
                <w:sz w:val="16"/>
                <w:szCs w:val="16"/>
                <w:lang w:eastAsia="ja-JP"/>
              </w:rPr>
              <w:t xml:space="preserve"> </w:t>
            </w:r>
          </w:p>
          <w:p w14:paraId="1CB0AD6B" w14:textId="6D4EFF2D" w:rsidR="000C38C9" w:rsidRPr="00874B88" w:rsidRDefault="000C38C9" w:rsidP="00874B88">
            <w:pPr>
              <w:spacing w:line="259" w:lineRule="auto"/>
              <w:ind w:left="63"/>
              <w:rPr>
                <w:rFonts w:cstheme="minorHAnsi"/>
                <w:b/>
                <w:bCs/>
                <w:sz w:val="24"/>
                <w:lang w:eastAsia="ja-JP"/>
              </w:rPr>
            </w:pPr>
            <w:r>
              <w:rPr>
                <w:rFonts w:cstheme="minorHAnsi"/>
                <w:sz w:val="16"/>
                <w:szCs w:val="16"/>
                <w:lang w:eastAsia="ja-JP"/>
              </w:rPr>
              <w:t>(sierpień 2021)</w:t>
            </w:r>
          </w:p>
        </w:tc>
        <w:tc>
          <w:tcPr>
            <w:tcW w:w="2367" w:type="dxa"/>
            <w:vMerge w:val="restart"/>
            <w:shd w:val="clear" w:color="auto" w:fill="FFFF66"/>
            <w:vAlign w:val="center"/>
          </w:tcPr>
          <w:p w14:paraId="1EAC2A4E" w14:textId="0B6D5BBF" w:rsidR="000C38C9" w:rsidRPr="00C04041" w:rsidRDefault="000C38C9" w:rsidP="00C04041">
            <w:pPr>
              <w:spacing w:line="259" w:lineRule="auto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  <w:t xml:space="preserve">Skala </w:t>
            </w:r>
            <w:r w:rsidRPr="00CB3137"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  <w:t>wsparcia</w:t>
            </w:r>
          </w:p>
        </w:tc>
      </w:tr>
      <w:tr w:rsidR="00874B88" w:rsidRPr="002155D8" w14:paraId="1C152CC0" w14:textId="77777777" w:rsidTr="004612A9">
        <w:trPr>
          <w:gridAfter w:val="1"/>
          <w:wAfter w:w="37" w:type="dxa"/>
          <w:trHeight w:val="831"/>
        </w:trPr>
        <w:tc>
          <w:tcPr>
            <w:tcW w:w="1418" w:type="dxa"/>
            <w:shd w:val="clear" w:color="auto" w:fill="EDEDED" w:themeFill="accent3" w:themeFillTint="33"/>
            <w:vAlign w:val="center"/>
          </w:tcPr>
          <w:p w14:paraId="1ECAA589" w14:textId="389C1DF4" w:rsidR="00874B88" w:rsidRPr="00CB2036" w:rsidRDefault="00874B88" w:rsidP="00874B88">
            <w:pPr>
              <w:contextualSpacing/>
              <w:rPr>
                <w:rFonts w:cstheme="minorHAnsi"/>
                <w:b/>
                <w:bCs/>
                <w:sz w:val="20"/>
                <w:szCs w:val="20"/>
                <w:lang w:eastAsia="ja-JP"/>
              </w:rPr>
            </w:pPr>
            <w:r w:rsidRPr="00CB2036">
              <w:rPr>
                <w:rFonts w:cstheme="minorHAnsi"/>
                <w:b/>
                <w:bCs/>
                <w:sz w:val="20"/>
                <w:szCs w:val="20"/>
                <w:lang w:eastAsia="ja-JP"/>
              </w:rPr>
              <w:t xml:space="preserve">Wybrane </w:t>
            </w:r>
            <w:r w:rsidR="0093631B" w:rsidRPr="00CB2036">
              <w:rPr>
                <w:rFonts w:cstheme="minorHAnsi"/>
                <w:b/>
                <w:bCs/>
                <w:sz w:val="20"/>
                <w:szCs w:val="20"/>
                <w:lang w:eastAsia="ja-JP"/>
              </w:rPr>
              <w:t>produkty</w:t>
            </w:r>
          </w:p>
        </w:tc>
        <w:tc>
          <w:tcPr>
            <w:tcW w:w="5245" w:type="dxa"/>
            <w:gridSpan w:val="3"/>
            <w:vAlign w:val="center"/>
          </w:tcPr>
          <w:p w14:paraId="43B4E73A" w14:textId="53B122A7" w:rsidR="004322DA" w:rsidRDefault="00704FA9" w:rsidP="00182E17">
            <w:pPr>
              <w:pStyle w:val="Akapitzlist"/>
              <w:numPr>
                <w:ilvl w:val="0"/>
                <w:numId w:val="11"/>
              </w:numPr>
              <w:spacing w:before="0" w:after="0" w:line="259" w:lineRule="auto"/>
              <w:ind w:left="313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</w:t>
            </w:r>
            <w:r w:rsid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onad</w:t>
            </w:r>
            <w:r w:rsid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20 tys. </w:t>
            </w:r>
            <w:r w:rsidR="00F112B2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jednostek wytwarzani</w:t>
            </w:r>
            <w:r w:rsidR="00C176CF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a</w:t>
            </w:r>
            <w:r w:rsidR="00F112B2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energii elektrycznej z OZE </w:t>
            </w:r>
            <w:r w:rsidR="004322DA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- </w:t>
            </w:r>
            <w:r w:rsid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mikro i małych instalacji </w:t>
            </w:r>
            <w:r w:rsidR="004322DA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fotowoltaicznych (PV) </w:t>
            </w:r>
            <w:r w:rsidR="00F112B2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oraz la</w:t>
            </w:r>
            <w:r w:rsidR="004322DA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m</w:t>
            </w:r>
            <w:r w:rsidR="00F112B2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 PV lub hybrydowych</w:t>
            </w:r>
          </w:p>
          <w:p w14:paraId="4B41C0C0" w14:textId="0BE66518" w:rsidR="00874B88" w:rsidRDefault="004322DA" w:rsidP="00182E17">
            <w:pPr>
              <w:pStyle w:val="Akapitzlist"/>
              <w:numPr>
                <w:ilvl w:val="0"/>
                <w:numId w:val="11"/>
              </w:numPr>
              <w:spacing w:before="0" w:after="0" w:line="259" w:lineRule="auto"/>
              <w:ind w:left="313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</w:t>
            </w:r>
            <w:r w:rsid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k. </w:t>
            </w:r>
            <w:r w:rsid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12 tys. </w:t>
            </w:r>
            <w:r w:rsidR="00874B88" w:rsidRPr="005477BC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jednostek wytwarzania energii cieplnej z OZE (kolektory słoneczne, pompy ciepła, kotły biomasowe)</w:t>
            </w:r>
            <w:r w:rsid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</w:t>
            </w:r>
          </w:p>
          <w:p w14:paraId="7722447D" w14:textId="4D5C033A" w:rsidR="00874B88" w:rsidRPr="00874B88" w:rsidRDefault="00704FA9" w:rsidP="00182E17">
            <w:pPr>
              <w:pStyle w:val="Akapitzlist"/>
              <w:numPr>
                <w:ilvl w:val="0"/>
                <w:numId w:val="11"/>
              </w:numPr>
              <w:spacing w:before="0" w:after="0" w:line="259" w:lineRule="auto"/>
              <w:ind w:left="313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T</w:t>
            </w:r>
            <w:r w:rsidR="00874B88" w:rsidRP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ermomodernizacja </w:t>
            </w:r>
            <w:r w:rsidR="00BB07E4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ok. </w:t>
            </w:r>
            <w:r w:rsidR="00874B88" w:rsidRP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800 budynków użyteczności publicznej i 290 wielorodzinnych budynków mieszkalnych</w:t>
            </w:r>
          </w:p>
          <w:p w14:paraId="2AC6356B" w14:textId="0E80E779" w:rsidR="00874B88" w:rsidRPr="00874B88" w:rsidRDefault="00704FA9" w:rsidP="00182E17">
            <w:pPr>
              <w:pStyle w:val="Akapitzlist"/>
              <w:numPr>
                <w:ilvl w:val="0"/>
                <w:numId w:val="11"/>
              </w:numPr>
              <w:spacing w:before="0" w:after="0" w:line="259" w:lineRule="auto"/>
              <w:ind w:left="313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W</w:t>
            </w:r>
            <w:r w:rsidR="00874B88" w:rsidRPr="00874B88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ymiana źródeł ciepła w ok. 1400 domach jednorodzinnych</w:t>
            </w:r>
          </w:p>
          <w:p w14:paraId="4903FF1E" w14:textId="70A0A921" w:rsidR="00874B88" w:rsidRDefault="00704FA9" w:rsidP="00182E17">
            <w:pPr>
              <w:pStyle w:val="Akapitzlist"/>
              <w:numPr>
                <w:ilvl w:val="0"/>
                <w:numId w:val="11"/>
              </w:numPr>
              <w:spacing w:before="0" w:after="0" w:line="259" w:lineRule="auto"/>
              <w:ind w:left="313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B</w:t>
            </w:r>
            <w:r w:rsid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udowa lub modernizacja 16 jednostek wysokosprawnej kogeneracji</w:t>
            </w:r>
          </w:p>
          <w:p w14:paraId="5F3D2F64" w14:textId="3C3B1DCE" w:rsidR="0093631B" w:rsidRPr="005477BC" w:rsidRDefault="00704FA9" w:rsidP="00182E17">
            <w:pPr>
              <w:pStyle w:val="Akapitzlist"/>
              <w:numPr>
                <w:ilvl w:val="0"/>
                <w:numId w:val="11"/>
              </w:numPr>
              <w:spacing w:before="0" w:after="0" w:line="259" w:lineRule="auto"/>
              <w:ind w:left="313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M</w:t>
            </w:r>
            <w:r w:rsid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odernizacja ok.</w:t>
            </w:r>
            <w:r w:rsidR="0093631B" w:rsidRP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8</w:t>
            </w:r>
            <w:r w:rsid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5 tys. </w:t>
            </w:r>
            <w:r w:rsidR="0093631B" w:rsidRP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punktów o</w:t>
            </w:r>
            <w:r w:rsidR="0093631B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świetlenia ulicznego</w:t>
            </w:r>
          </w:p>
        </w:tc>
        <w:tc>
          <w:tcPr>
            <w:tcW w:w="2367" w:type="dxa"/>
            <w:vMerge/>
            <w:shd w:val="clear" w:color="auto" w:fill="FFFF66"/>
            <w:vAlign w:val="center"/>
          </w:tcPr>
          <w:p w14:paraId="494FF920" w14:textId="77777777" w:rsidR="00874B88" w:rsidRDefault="00874B88" w:rsidP="00C0404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</w:pPr>
          </w:p>
        </w:tc>
      </w:tr>
      <w:tr w:rsidR="000C58DB" w:rsidRPr="002155D8" w14:paraId="1B868C25" w14:textId="77777777" w:rsidTr="000C38C9">
        <w:trPr>
          <w:gridAfter w:val="1"/>
          <w:wAfter w:w="37" w:type="dxa"/>
          <w:trHeight w:val="963"/>
        </w:trPr>
        <w:tc>
          <w:tcPr>
            <w:tcW w:w="1418" w:type="dxa"/>
            <w:vMerge w:val="restart"/>
            <w:shd w:val="clear" w:color="auto" w:fill="FFFF66"/>
            <w:vAlign w:val="center"/>
          </w:tcPr>
          <w:p w14:paraId="36DF9011" w14:textId="29BBBD32" w:rsidR="000C58DB" w:rsidRPr="002155D8" w:rsidRDefault="000C58DB" w:rsidP="00B9105C">
            <w:pPr>
              <w:contextualSpacing/>
              <w:rPr>
                <w:rFonts w:ascii="Arial" w:hAnsi="Arial" w:cs="Arial"/>
                <w:b/>
                <w:bCs/>
                <w:sz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  <w:t>mechanizmy wdrażania</w:t>
            </w:r>
          </w:p>
        </w:tc>
        <w:tc>
          <w:tcPr>
            <w:tcW w:w="7612" w:type="dxa"/>
            <w:gridSpan w:val="4"/>
            <w:vAlign w:val="center"/>
          </w:tcPr>
          <w:p w14:paraId="098F02B7" w14:textId="075C9058" w:rsidR="000C58DB" w:rsidRPr="000C38C9" w:rsidRDefault="00704FA9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Z</w:t>
            </w:r>
            <w:r w:rsidR="000C58DB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akres i warunki wsparcia dobrze dostosowane do potrzeb i możliwości beneficjentów </w:t>
            </w:r>
          </w:p>
          <w:p w14:paraId="30211B84" w14:textId="5AD53B55" w:rsidR="000C58DB" w:rsidRPr="000C38C9" w:rsidRDefault="00704FA9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</w:t>
            </w:r>
            <w:r w:rsidR="000C58DB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rzyjęte zasady wdrażania, w tym ścieżki wyboru i formuły realizacji projektów, system zarządzania programem, sprzyjały skutecznej i efektywnej realizacji celów interwencji</w:t>
            </w:r>
          </w:p>
          <w:p w14:paraId="420D83D0" w14:textId="3FCD32FA" w:rsidR="000C58DB" w:rsidRPr="000C58DB" w:rsidRDefault="00704FA9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K</w:t>
            </w:r>
            <w:r w:rsidR="000C58DB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ryteria wyboru projektów promowały projekty najbardziej efektywne kosztowo i </w:t>
            </w:r>
            <w:r w:rsid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o </w:t>
            </w:r>
            <w:r w:rsidR="000C58DB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największej skali efektów</w:t>
            </w:r>
          </w:p>
        </w:tc>
      </w:tr>
      <w:tr w:rsidR="000C58DB" w:rsidRPr="002155D8" w14:paraId="7BDD6729" w14:textId="77777777" w:rsidTr="000C38C9">
        <w:trPr>
          <w:gridAfter w:val="1"/>
          <w:wAfter w:w="37" w:type="dxa"/>
          <w:trHeight w:val="502"/>
        </w:trPr>
        <w:tc>
          <w:tcPr>
            <w:tcW w:w="1418" w:type="dxa"/>
            <w:vMerge/>
            <w:shd w:val="clear" w:color="auto" w:fill="FFFF66"/>
            <w:vAlign w:val="center"/>
          </w:tcPr>
          <w:p w14:paraId="6DA96827" w14:textId="77777777" w:rsidR="000C58DB" w:rsidRDefault="000C58DB" w:rsidP="00B9105C">
            <w:pPr>
              <w:contextualSpacing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</w:pPr>
          </w:p>
        </w:tc>
        <w:tc>
          <w:tcPr>
            <w:tcW w:w="7612" w:type="dxa"/>
            <w:gridSpan w:val="4"/>
            <w:vAlign w:val="center"/>
          </w:tcPr>
          <w:p w14:paraId="22563D8C" w14:textId="4801301A" w:rsidR="000C38C9" w:rsidRDefault="00704FA9" w:rsidP="004612A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S</w:t>
            </w:r>
            <w:r w:rsidR="000C58DB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komplikowany system oceny </w:t>
            </w:r>
            <w:r w:rsidR="00957087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projektów</w:t>
            </w:r>
          </w:p>
          <w:p w14:paraId="709F3700" w14:textId="270DE7DF" w:rsidR="007A4A0C" w:rsidRDefault="007A4A0C" w:rsidP="004612A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T</w:t>
            </w:r>
            <w:r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rudności w stosowaniu wskaźników rezultatu</w:t>
            </w: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(oszacowanie i pomiar)</w:t>
            </w:r>
          </w:p>
          <w:p w14:paraId="170D7F68" w14:textId="41A49A79" w:rsidR="007A4A0C" w:rsidRPr="007A4A0C" w:rsidRDefault="007A4A0C" w:rsidP="004612A9">
            <w:pPr>
              <w:pStyle w:val="Akapitzlist"/>
              <w:numPr>
                <w:ilvl w:val="0"/>
                <w:numId w:val="15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Wymagające dużego nakładu pracy procedury nadzoru nad projektami grantowymi</w:t>
            </w:r>
          </w:p>
        </w:tc>
      </w:tr>
      <w:tr w:rsidR="000C38C9" w:rsidRPr="002155D8" w14:paraId="4ECBDC85" w14:textId="77777777" w:rsidTr="007A4A0C">
        <w:trPr>
          <w:gridAfter w:val="1"/>
          <w:wAfter w:w="37" w:type="dxa"/>
          <w:trHeight w:val="923"/>
        </w:trPr>
        <w:tc>
          <w:tcPr>
            <w:tcW w:w="5153" w:type="dxa"/>
            <w:gridSpan w:val="2"/>
            <w:shd w:val="clear" w:color="auto" w:fill="FFFFFF" w:themeFill="background1"/>
            <w:vAlign w:val="center"/>
          </w:tcPr>
          <w:p w14:paraId="4BDC9B86" w14:textId="0DD7FECC" w:rsidR="000C38C9" w:rsidRDefault="00E004DF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W</w:t>
            </w:r>
            <w:r w:rsidR="000C38C9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zrost cen energii </w:t>
            </w:r>
          </w:p>
          <w:p w14:paraId="32568C69" w14:textId="49C3F22A" w:rsidR="007A4A0C" w:rsidRPr="007A4A0C" w:rsidRDefault="007A4A0C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K</w:t>
            </w:r>
            <w:r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orzystne zasady rozliczeń prosumenta prywatnego za nadwyżki energii oddawane</w:t>
            </w:r>
            <w:r w:rsidR="00C176CF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j</w:t>
            </w:r>
            <w:r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 do sieci</w:t>
            </w:r>
          </w:p>
          <w:p w14:paraId="74A91F41" w14:textId="77777777" w:rsidR="000C38C9" w:rsidRDefault="00E004DF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W</w:t>
            </w:r>
            <w:r w:rsidR="000C38C9"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ejście w życie w 2017 r. uchwały antysmogowej</w:t>
            </w:r>
          </w:p>
          <w:p w14:paraId="79AFB014" w14:textId="1E0AF6D2" w:rsidR="00141C6D" w:rsidRPr="000C38C9" w:rsidRDefault="00141C6D" w:rsidP="004612A9">
            <w:pPr>
              <w:pStyle w:val="Akapitzlist"/>
              <w:numPr>
                <w:ilvl w:val="0"/>
                <w:numId w:val="14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Wzrost kursu EUR</w:t>
            </w:r>
          </w:p>
        </w:tc>
        <w:tc>
          <w:tcPr>
            <w:tcW w:w="3877" w:type="dxa"/>
            <w:gridSpan w:val="3"/>
            <w:vMerge w:val="restart"/>
            <w:shd w:val="clear" w:color="auto" w:fill="FFFF66"/>
            <w:vAlign w:val="center"/>
          </w:tcPr>
          <w:p w14:paraId="7D6CB795" w14:textId="564F77A7" w:rsidR="000C38C9" w:rsidRPr="000C38C9" w:rsidRDefault="000C38C9" w:rsidP="000C38C9">
            <w:pPr>
              <w:spacing w:line="259" w:lineRule="auto"/>
              <w:ind w:left="-44"/>
              <w:rPr>
                <w:rFonts w:cs="Arial"/>
                <w:sz w:val="16"/>
                <w:szCs w:val="16"/>
                <w:lang w:eastAsia="ja-JP"/>
              </w:rPr>
            </w:pPr>
            <w:r w:rsidRPr="000C38C9">
              <w:rPr>
                <w:rFonts w:cs="Arial"/>
                <w:b/>
                <w:bCs/>
                <w:smallCaps/>
                <w:sz w:val="20"/>
                <w:szCs w:val="20"/>
                <w:lang w:eastAsia="ja-JP"/>
              </w:rPr>
              <w:t>Czynniki zewnętrzne</w:t>
            </w:r>
          </w:p>
        </w:tc>
      </w:tr>
      <w:tr w:rsidR="000C38C9" w:rsidRPr="002155D8" w14:paraId="39661DA9" w14:textId="77777777" w:rsidTr="00193620">
        <w:trPr>
          <w:gridAfter w:val="1"/>
          <w:wAfter w:w="37" w:type="dxa"/>
          <w:trHeight w:val="68"/>
        </w:trPr>
        <w:tc>
          <w:tcPr>
            <w:tcW w:w="5153" w:type="dxa"/>
            <w:gridSpan w:val="2"/>
            <w:tcBorders>
              <w:bottom w:val="single" w:sz="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82989ED" w14:textId="77777777" w:rsidR="000C38C9" w:rsidRDefault="000C38C9" w:rsidP="004612A9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 w:rsidRPr="000C38C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Pandemia COVID -19 – opóźnienia w realizacji projektów, czasowe wyłączenia z użytkowania wspartej infrastruktury</w:t>
            </w:r>
          </w:p>
          <w:p w14:paraId="6E07A3BC" w14:textId="34EC15C1" w:rsidR="00F50760" w:rsidRPr="00957087" w:rsidRDefault="00F50760" w:rsidP="004612A9">
            <w:pPr>
              <w:pStyle w:val="Akapitzlist"/>
              <w:numPr>
                <w:ilvl w:val="0"/>
                <w:numId w:val="16"/>
              </w:numPr>
              <w:spacing w:line="240" w:lineRule="auto"/>
              <w:ind w:left="312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 xml:space="preserve">Wzrost kosztów </w:t>
            </w:r>
            <w:r w:rsidR="00704FA9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robót budowlanych i niedobór wykonawców na rynku</w:t>
            </w:r>
          </w:p>
        </w:tc>
        <w:tc>
          <w:tcPr>
            <w:tcW w:w="3877" w:type="dxa"/>
            <w:gridSpan w:val="3"/>
            <w:vMerge/>
            <w:tcBorders>
              <w:bottom w:val="single" w:sz="4" w:space="0" w:color="EDEDED" w:themeColor="accent3" w:themeTint="33"/>
            </w:tcBorders>
            <w:shd w:val="clear" w:color="auto" w:fill="FFFF66"/>
            <w:vAlign w:val="center"/>
          </w:tcPr>
          <w:p w14:paraId="36215FD4" w14:textId="77777777" w:rsidR="000C38C9" w:rsidRPr="000C38C9" w:rsidRDefault="000C38C9" w:rsidP="000C38C9">
            <w:pPr>
              <w:ind w:left="-44"/>
              <w:rPr>
                <w:rFonts w:cs="Arial"/>
                <w:b/>
                <w:bCs/>
                <w:smallCaps/>
                <w:sz w:val="20"/>
                <w:szCs w:val="20"/>
                <w:lang w:eastAsia="ja-JP"/>
              </w:rPr>
            </w:pPr>
          </w:p>
        </w:tc>
      </w:tr>
      <w:tr w:rsidR="000A1E7E" w:rsidRPr="002155D8" w14:paraId="252BF892" w14:textId="77777777" w:rsidTr="00193620">
        <w:trPr>
          <w:gridAfter w:val="1"/>
          <w:wAfter w:w="37" w:type="dxa"/>
        </w:trPr>
        <w:tc>
          <w:tcPr>
            <w:tcW w:w="9030" w:type="dxa"/>
            <w:gridSpan w:val="5"/>
            <w:tcBorders>
              <w:top w:val="single" w:sz="4" w:space="0" w:color="EDEDED" w:themeColor="accent3" w:themeTint="33"/>
              <w:left w:val="single" w:sz="4" w:space="0" w:color="EDEDED" w:themeColor="accent3" w:themeTint="33"/>
              <w:bottom w:val="single" w:sz="4" w:space="0" w:color="EDEDED" w:themeColor="accent3" w:themeTint="33"/>
              <w:right w:val="single" w:sz="4" w:space="0" w:color="EDEDED" w:themeColor="accent3" w:themeTint="33"/>
            </w:tcBorders>
            <w:shd w:val="clear" w:color="auto" w:fill="FFFF66"/>
            <w:vAlign w:val="center"/>
          </w:tcPr>
          <w:p w14:paraId="4CF66FCD" w14:textId="0373BCA4" w:rsidR="000A1E7E" w:rsidRPr="000A1E7E" w:rsidRDefault="000A1E7E" w:rsidP="000A1E7E">
            <w:pPr>
              <w:contextualSpacing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</w:pPr>
            <w:r w:rsidRPr="000A1E7E">
              <w:rPr>
                <w:rFonts w:ascii="Arial" w:hAnsi="Arial" w:cs="Arial"/>
                <w:b/>
                <w:bCs/>
                <w:smallCaps/>
                <w:sz w:val="20"/>
                <w:szCs w:val="20"/>
                <w:lang w:eastAsia="ja-JP"/>
              </w:rPr>
              <w:t>Kluczowe rekomendacje</w:t>
            </w:r>
          </w:p>
        </w:tc>
      </w:tr>
      <w:tr w:rsidR="00CB1D63" w:rsidRPr="002155D8" w14:paraId="21CF3671" w14:textId="77777777" w:rsidTr="00193620">
        <w:trPr>
          <w:gridAfter w:val="1"/>
          <w:wAfter w:w="37" w:type="dxa"/>
        </w:trPr>
        <w:tc>
          <w:tcPr>
            <w:tcW w:w="9030" w:type="dxa"/>
            <w:gridSpan w:val="5"/>
            <w:tcBorders>
              <w:top w:val="single" w:sz="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DED941C" w14:textId="475AF39B" w:rsidR="00CB1D63" w:rsidRPr="00CB1D63" w:rsidRDefault="00CB1D63" w:rsidP="004612A9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12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D</w:t>
            </w:r>
            <w:r w:rsidRPr="00CB1D63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oprecyzowanie definicji i ujednolicenie metodyk szacowania wskaźników rezultatu (np. stworzenie formularzy lub kalkulatorów)</w:t>
            </w:r>
          </w:p>
          <w:p w14:paraId="3E57C54C" w14:textId="4CFAFB33" w:rsidR="00CB1D63" w:rsidRPr="00CB1D63" w:rsidRDefault="00CB1D63" w:rsidP="004612A9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12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 w:rsidRPr="00CB1D63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Uproszczenie organizacji procesu oceny i systemu kryteriów oceny oraz rezygnacja z kryterium oceny efektywności kosztowej odnoszącego się do mocy zainstalowanej instalacji OZE</w:t>
            </w:r>
          </w:p>
          <w:p w14:paraId="4838C741" w14:textId="7B9F17D6" w:rsidR="00CB1D63" w:rsidRPr="00CB1D63" w:rsidRDefault="00CB1D63" w:rsidP="004612A9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12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 w:rsidRPr="00CB1D63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Zwiększenie udziału alokacji przeznaczonej na otwarte nabory konkursowe</w:t>
            </w:r>
          </w:p>
          <w:p w14:paraId="4540EFDD" w14:textId="589B4A6B" w:rsidR="00CB1D63" w:rsidRPr="00CB1D63" w:rsidRDefault="00CB1D63" w:rsidP="004612A9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12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 w:rsidRPr="00CB1D63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Uelastycznienie i uproszczenie zasad nadzoru, realizacji i wprowadzania zmian w projektach parasolowych i grantowych</w:t>
            </w:r>
          </w:p>
          <w:p w14:paraId="7A6B51E6" w14:textId="77777777" w:rsidR="00CB1D63" w:rsidRDefault="00CB1D63" w:rsidP="004612A9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12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P</w:t>
            </w:r>
            <w:r w:rsidRPr="00CB1D63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referencje dla typów projektów oraz technologii, które wnoszą istotny równoległy wkład zarówno w rozwój OZE i/lub poprawę efektowności energetycznej, jak i poprawę jakości powietrza</w:t>
            </w:r>
          </w:p>
          <w:p w14:paraId="6209820E" w14:textId="2C775E59" w:rsidR="00CB1D63" w:rsidRPr="00CB1D63" w:rsidRDefault="00CB1D63" w:rsidP="004612A9">
            <w:pPr>
              <w:pStyle w:val="Akapitzlist"/>
              <w:numPr>
                <w:ilvl w:val="0"/>
                <w:numId w:val="11"/>
              </w:numPr>
              <w:spacing w:line="259" w:lineRule="auto"/>
              <w:ind w:left="312" w:hanging="284"/>
              <w:jc w:val="left"/>
              <w:rPr>
                <w:rFonts w:asciiTheme="minorHAnsi" w:hAnsiTheme="minorHAnsi" w:cstheme="minorHAnsi"/>
                <w:sz w:val="16"/>
                <w:szCs w:val="16"/>
                <w:lang w:eastAsia="ja-JP"/>
              </w:rPr>
            </w:pPr>
            <w:r w:rsidRPr="00CB1D63">
              <w:rPr>
                <w:rFonts w:asciiTheme="minorHAnsi" w:hAnsiTheme="minorHAnsi" w:cstheme="minorHAnsi"/>
                <w:sz w:val="16"/>
                <w:szCs w:val="16"/>
                <w:lang w:eastAsia="ja-JP"/>
              </w:rPr>
              <w:t>Zapewnienie rozwiązań zapobiegających przeciążeniom sieci elektroenergetycznej związanym z rozwojem energetyki rozproszonej</w:t>
            </w:r>
          </w:p>
        </w:tc>
      </w:tr>
      <w:tr w:rsidR="00B9105C" w:rsidRPr="002155D8" w14:paraId="0E3F76A9" w14:textId="77777777" w:rsidTr="004612A9">
        <w:trPr>
          <w:gridAfter w:val="1"/>
          <w:wAfter w:w="37" w:type="dxa"/>
        </w:trPr>
        <w:tc>
          <w:tcPr>
            <w:tcW w:w="6663" w:type="dxa"/>
            <w:gridSpan w:val="4"/>
            <w:shd w:val="clear" w:color="auto" w:fill="EDEDED" w:themeFill="accent3" w:themeFillTint="33"/>
            <w:vAlign w:val="center"/>
          </w:tcPr>
          <w:p w14:paraId="6C67DA66" w14:textId="77777777" w:rsidR="00B9105C" w:rsidRPr="00936BBB" w:rsidRDefault="00B9105C" w:rsidP="009164F6">
            <w:pPr>
              <w:spacing w:before="120" w:after="120"/>
              <w:contextualSpacing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936BBB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ja-JP"/>
              </w:rPr>
              <w:t xml:space="preserve">Badanie zrealizowane na zlecenie Urzędu Marszałkowskiego Województwa Śląskiego </w:t>
            </w:r>
          </w:p>
          <w:p w14:paraId="1AE75706" w14:textId="67327AA8" w:rsidR="00B9105C" w:rsidRPr="00C834D3" w:rsidRDefault="00B9105C" w:rsidP="009164F6">
            <w:pPr>
              <w:spacing w:before="120" w:after="12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ja-JP"/>
              </w:rPr>
            </w:pPr>
            <w:r w:rsidRPr="00936BBB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ja-JP"/>
              </w:rPr>
              <w:t>przez Fundeko Korbel, Krok-Baściuk sp. j.</w:t>
            </w:r>
          </w:p>
        </w:tc>
        <w:tc>
          <w:tcPr>
            <w:tcW w:w="2367" w:type="dxa"/>
            <w:vAlign w:val="center"/>
          </w:tcPr>
          <w:p w14:paraId="4D8F51BC" w14:textId="4D64463C" w:rsidR="00B9105C" w:rsidRPr="002155D8" w:rsidRDefault="00B9105C" w:rsidP="009164F6">
            <w:pPr>
              <w:pStyle w:val="Akapitzlist"/>
              <w:spacing w:before="120" w:after="120" w:line="259" w:lineRule="auto"/>
              <w:ind w:left="0"/>
              <w:contextualSpacing w:val="0"/>
              <w:jc w:val="right"/>
              <w:rPr>
                <w:rFonts w:cs="Arial"/>
                <w:i/>
                <w:iCs/>
                <w:sz w:val="20"/>
                <w:szCs w:val="20"/>
                <w:lang w:eastAsia="ja-JP"/>
              </w:rPr>
            </w:pPr>
            <w:r w:rsidRPr="002155D8">
              <w:rPr>
                <w:rFonts w:cs="Arial"/>
                <w:b/>
                <w:bCs/>
                <w:noProof/>
                <w:lang w:eastAsia="pl-PL"/>
              </w:rPr>
              <w:drawing>
                <wp:inline distT="0" distB="0" distL="0" distR="0" wp14:anchorId="26A7DE61" wp14:editId="41B19B5D">
                  <wp:extent cx="1336431" cy="272154"/>
                  <wp:effectExtent l="0" t="0" r="0" b="0"/>
                  <wp:docPr id="31" name="Obraz 31" descr="Logo firmy Funde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Obraz 31" descr="Logo firmy Funde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75" cy="2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1E75F" w14:textId="77777777" w:rsidR="00BC71B6" w:rsidRPr="002155D8" w:rsidRDefault="00BC71B6" w:rsidP="00426913">
      <w:pPr>
        <w:spacing w:after="0"/>
        <w:contextualSpacing/>
        <w:rPr>
          <w:rFonts w:ascii="Arial" w:hAnsi="Arial" w:cs="Arial"/>
        </w:rPr>
      </w:pPr>
    </w:p>
    <w:sectPr w:rsidR="00BC71B6" w:rsidRPr="002155D8" w:rsidSect="001B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30CC" w14:textId="77777777" w:rsidR="00263128" w:rsidRDefault="00263128" w:rsidP="00687679">
      <w:pPr>
        <w:spacing w:after="0" w:line="240" w:lineRule="auto"/>
      </w:pPr>
      <w:r>
        <w:separator/>
      </w:r>
    </w:p>
  </w:endnote>
  <w:endnote w:type="continuationSeparator" w:id="0">
    <w:p w14:paraId="72DC36E6" w14:textId="77777777" w:rsidR="00263128" w:rsidRDefault="00263128" w:rsidP="0068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D5EF" w14:textId="77777777" w:rsidR="00263128" w:rsidRDefault="00263128" w:rsidP="00687679">
      <w:pPr>
        <w:spacing w:after="0" w:line="240" w:lineRule="auto"/>
      </w:pPr>
      <w:r>
        <w:separator/>
      </w:r>
    </w:p>
  </w:footnote>
  <w:footnote w:type="continuationSeparator" w:id="0">
    <w:p w14:paraId="190C2C51" w14:textId="77777777" w:rsidR="00263128" w:rsidRDefault="00263128" w:rsidP="00687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030"/>
    <w:multiLevelType w:val="hybridMultilevel"/>
    <w:tmpl w:val="C30084C6"/>
    <w:lvl w:ilvl="0" w:tplc="BE6A662A">
      <w:start w:val="30"/>
      <w:numFmt w:val="decimal"/>
      <w:lvlText w:val="%1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 w15:restartNumberingAfterBreak="0">
    <w:nsid w:val="05431D24"/>
    <w:multiLevelType w:val="hybridMultilevel"/>
    <w:tmpl w:val="2462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0312"/>
    <w:multiLevelType w:val="hybridMultilevel"/>
    <w:tmpl w:val="EB30538C"/>
    <w:lvl w:ilvl="0" w:tplc="868064F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758"/>
    <w:multiLevelType w:val="hybridMultilevel"/>
    <w:tmpl w:val="2EA84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991"/>
    <w:multiLevelType w:val="hybridMultilevel"/>
    <w:tmpl w:val="71B0F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C3574"/>
    <w:multiLevelType w:val="hybridMultilevel"/>
    <w:tmpl w:val="6E42371A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7600"/>
    <w:multiLevelType w:val="hybridMultilevel"/>
    <w:tmpl w:val="818E9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93C47"/>
    <w:multiLevelType w:val="hybridMultilevel"/>
    <w:tmpl w:val="E9D2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1481F"/>
    <w:multiLevelType w:val="hybridMultilevel"/>
    <w:tmpl w:val="2E0498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B389C"/>
    <w:multiLevelType w:val="hybridMultilevel"/>
    <w:tmpl w:val="DA0CAE94"/>
    <w:lvl w:ilvl="0" w:tplc="23CEDDF0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6518"/>
    <w:multiLevelType w:val="hybridMultilevel"/>
    <w:tmpl w:val="3D1CC0E4"/>
    <w:lvl w:ilvl="0" w:tplc="23CEDDF0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3F35"/>
    <w:multiLevelType w:val="hybridMultilevel"/>
    <w:tmpl w:val="CB7E2D68"/>
    <w:lvl w:ilvl="0" w:tplc="23CEDDF0">
      <w:start w:val="1"/>
      <w:numFmt w:val="bullet"/>
      <w:lvlText w:val="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15586"/>
    <w:multiLevelType w:val="hybridMultilevel"/>
    <w:tmpl w:val="920EB4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3967C9"/>
    <w:multiLevelType w:val="hybridMultilevel"/>
    <w:tmpl w:val="240413C0"/>
    <w:lvl w:ilvl="0" w:tplc="36A26854">
      <w:start w:val="1"/>
      <w:numFmt w:val="bullet"/>
      <w:lvlText w:val="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D24C8"/>
    <w:multiLevelType w:val="hybridMultilevel"/>
    <w:tmpl w:val="7468310C"/>
    <w:lvl w:ilvl="0" w:tplc="0415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 w15:restartNumberingAfterBreak="0">
    <w:nsid w:val="7ACE7207"/>
    <w:multiLevelType w:val="hybridMultilevel"/>
    <w:tmpl w:val="6F3EF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24326"/>
    <w:multiLevelType w:val="hybridMultilevel"/>
    <w:tmpl w:val="83C800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8"/>
  </w:num>
  <w:num w:numId="8">
    <w:abstractNumId w:val="1"/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BD"/>
    <w:rsid w:val="00007D83"/>
    <w:rsid w:val="00015021"/>
    <w:rsid w:val="00030CAC"/>
    <w:rsid w:val="000529F2"/>
    <w:rsid w:val="00076B4B"/>
    <w:rsid w:val="000A1E7E"/>
    <w:rsid w:val="000A62BB"/>
    <w:rsid w:val="000C34F6"/>
    <w:rsid w:val="000C38C9"/>
    <w:rsid w:val="000C58DB"/>
    <w:rsid w:val="000C7503"/>
    <w:rsid w:val="000F19FE"/>
    <w:rsid w:val="000F27FD"/>
    <w:rsid w:val="001155A8"/>
    <w:rsid w:val="00141C6D"/>
    <w:rsid w:val="00163BD5"/>
    <w:rsid w:val="00182E17"/>
    <w:rsid w:val="00193620"/>
    <w:rsid w:val="001B47D2"/>
    <w:rsid w:val="001B4BFF"/>
    <w:rsid w:val="001E743E"/>
    <w:rsid w:val="002061FC"/>
    <w:rsid w:val="002155D8"/>
    <w:rsid w:val="00263128"/>
    <w:rsid w:val="00266ED2"/>
    <w:rsid w:val="002E7D8B"/>
    <w:rsid w:val="003031D7"/>
    <w:rsid w:val="00384EAB"/>
    <w:rsid w:val="003A731A"/>
    <w:rsid w:val="003E209D"/>
    <w:rsid w:val="003F3323"/>
    <w:rsid w:val="00421DC1"/>
    <w:rsid w:val="00426913"/>
    <w:rsid w:val="004322DA"/>
    <w:rsid w:val="00437305"/>
    <w:rsid w:val="004612A9"/>
    <w:rsid w:val="00483E97"/>
    <w:rsid w:val="004A7241"/>
    <w:rsid w:val="004A7685"/>
    <w:rsid w:val="004F770D"/>
    <w:rsid w:val="005216FA"/>
    <w:rsid w:val="005477BC"/>
    <w:rsid w:val="005575FB"/>
    <w:rsid w:val="00564E91"/>
    <w:rsid w:val="00571309"/>
    <w:rsid w:val="005926F1"/>
    <w:rsid w:val="005D0069"/>
    <w:rsid w:val="0061448A"/>
    <w:rsid w:val="006404EA"/>
    <w:rsid w:val="00642413"/>
    <w:rsid w:val="0067483E"/>
    <w:rsid w:val="00685663"/>
    <w:rsid w:val="00687679"/>
    <w:rsid w:val="006C6600"/>
    <w:rsid w:val="006D37A7"/>
    <w:rsid w:val="006D43AA"/>
    <w:rsid w:val="00704FA9"/>
    <w:rsid w:val="00744744"/>
    <w:rsid w:val="00750534"/>
    <w:rsid w:val="007751D9"/>
    <w:rsid w:val="007751E2"/>
    <w:rsid w:val="00787D43"/>
    <w:rsid w:val="007A4A0C"/>
    <w:rsid w:val="007C446E"/>
    <w:rsid w:val="00861609"/>
    <w:rsid w:val="00874B88"/>
    <w:rsid w:val="008863A3"/>
    <w:rsid w:val="008C664B"/>
    <w:rsid w:val="008D16D9"/>
    <w:rsid w:val="008E1993"/>
    <w:rsid w:val="008E6BBD"/>
    <w:rsid w:val="00902AD5"/>
    <w:rsid w:val="009164F6"/>
    <w:rsid w:val="0093631B"/>
    <w:rsid w:val="00936BBB"/>
    <w:rsid w:val="00957087"/>
    <w:rsid w:val="00973B29"/>
    <w:rsid w:val="009D1FE3"/>
    <w:rsid w:val="009E1CD8"/>
    <w:rsid w:val="00A149A2"/>
    <w:rsid w:val="00A325C8"/>
    <w:rsid w:val="00A64DD1"/>
    <w:rsid w:val="00A80C3E"/>
    <w:rsid w:val="00A86E15"/>
    <w:rsid w:val="00AA224E"/>
    <w:rsid w:val="00AC0B82"/>
    <w:rsid w:val="00B000BE"/>
    <w:rsid w:val="00B8704B"/>
    <w:rsid w:val="00B9105C"/>
    <w:rsid w:val="00BA393E"/>
    <w:rsid w:val="00BB07E4"/>
    <w:rsid w:val="00BC71B6"/>
    <w:rsid w:val="00BF5F39"/>
    <w:rsid w:val="00C04041"/>
    <w:rsid w:val="00C176CF"/>
    <w:rsid w:val="00C80763"/>
    <w:rsid w:val="00C834D3"/>
    <w:rsid w:val="00CB1D63"/>
    <w:rsid w:val="00CB2036"/>
    <w:rsid w:val="00CB3137"/>
    <w:rsid w:val="00D12289"/>
    <w:rsid w:val="00D168C6"/>
    <w:rsid w:val="00D7416D"/>
    <w:rsid w:val="00D742BA"/>
    <w:rsid w:val="00DA0686"/>
    <w:rsid w:val="00DB31F2"/>
    <w:rsid w:val="00DC0383"/>
    <w:rsid w:val="00DC709C"/>
    <w:rsid w:val="00DD0B79"/>
    <w:rsid w:val="00DE30B1"/>
    <w:rsid w:val="00E004DF"/>
    <w:rsid w:val="00E00729"/>
    <w:rsid w:val="00E128A0"/>
    <w:rsid w:val="00E17422"/>
    <w:rsid w:val="00E22545"/>
    <w:rsid w:val="00E41116"/>
    <w:rsid w:val="00E52B57"/>
    <w:rsid w:val="00E60AF2"/>
    <w:rsid w:val="00E91589"/>
    <w:rsid w:val="00EC7C99"/>
    <w:rsid w:val="00F112B2"/>
    <w:rsid w:val="00F1552D"/>
    <w:rsid w:val="00F4308F"/>
    <w:rsid w:val="00F50760"/>
    <w:rsid w:val="00F54102"/>
    <w:rsid w:val="00FB2528"/>
    <w:rsid w:val="00FB3CED"/>
    <w:rsid w:val="00FB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6E27"/>
  <w15:chartTrackingRefBased/>
  <w15:docId w15:val="{6B943B29-449F-477D-A73F-A22C37D6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maz_wyliczenie,opis dzialania,K-P_odwolanie,A_wyliczenie,Akapit z listą 1,Table of contents numbered,Akapit z listą5,Akapit z listą5CxSpLast,Tekst punktowanie,Numerowanie,List Paragraph,BulletC,Akapit z listą BS,CW_Lista"/>
    <w:basedOn w:val="Normalny"/>
    <w:link w:val="AkapitzlistZnak"/>
    <w:uiPriority w:val="34"/>
    <w:qFormat/>
    <w:rsid w:val="001E743E"/>
    <w:pPr>
      <w:spacing w:before="60" w:after="60" w:line="360" w:lineRule="auto"/>
      <w:ind w:left="720"/>
      <w:contextualSpacing/>
      <w:jc w:val="both"/>
    </w:pPr>
    <w:rPr>
      <w:rFonts w:ascii="Arial" w:eastAsia="Times New Roman" w:hAnsi="Arial" w:cs="Times New Roman"/>
      <w:color w:val="000000"/>
      <w:szCs w:val="24"/>
    </w:rPr>
  </w:style>
  <w:style w:type="character" w:customStyle="1" w:styleId="AkapitzlistZnak">
    <w:name w:val="Akapit z listą Znak"/>
    <w:aliases w:val="Sl_Akapit z listą Znak,maz_wyliczenie Znak,opis dzialania Znak,K-P_odwolanie Znak,A_wyliczenie Znak,Akapit z listą 1 Znak,Table of contents numbered Znak,Akapit z listą5 Znak,Akapit z listą5CxSpLast Znak,Tekst punktowanie Znak"/>
    <w:link w:val="Akapitzlist"/>
    <w:uiPriority w:val="34"/>
    <w:qFormat/>
    <w:locked/>
    <w:rsid w:val="001E743E"/>
    <w:rPr>
      <w:rFonts w:ascii="Arial" w:eastAsia="Times New Roman" w:hAnsi="Arial" w:cs="Times New Roman"/>
      <w:color w:val="000000"/>
      <w:szCs w:val="24"/>
    </w:rPr>
  </w:style>
  <w:style w:type="table" w:styleId="Tabela-Siatka">
    <w:name w:val="Table Grid"/>
    <w:basedOn w:val="Standardowy"/>
    <w:uiPriority w:val="39"/>
    <w:rsid w:val="001E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B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C834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76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76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7679"/>
    <w:rPr>
      <w:vertAlign w:val="superscript"/>
    </w:rPr>
  </w:style>
  <w:style w:type="paragraph" w:styleId="Tekstprzypisudolnego">
    <w:name w:val="footnote text"/>
    <w:aliases w:val="Podrozdział,Tekst przypisu,-E Fuﬂnotentext,Fuﬂnotentext Ursprung,Fußnotentext Ursprung,-E Fußnotentext,Fußnote,Footnote,Podrozdzia3,Footnote text,Tekst przypisu Znak Znak Znak Znak,Znak,FOOTNOTES,o,fn,Znak Znak,Tekst przypisu Znak"/>
    <w:basedOn w:val="Normalny"/>
    <w:link w:val="TekstprzypisudolnegoZnak"/>
    <w:uiPriority w:val="99"/>
    <w:unhideWhenUsed/>
    <w:qFormat/>
    <w:rsid w:val="0095708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aliases w:val="Podrozdział Znak,Tekst przypisu Znak1,-E Fuﬂnotentext Znak,Fuﬂnotentext Ursprung Znak,Fußnotentext Ursprung Znak,-E Fußnotentext Znak,Fußnote Znak,Footnote Znak,Podrozdzia3 Znak,Footnote text Znak,Znak Znak1,FOOTNOTES Znak"/>
    <w:basedOn w:val="Domylnaczcionkaakapitu"/>
    <w:link w:val="Tekstprzypisudolnego"/>
    <w:uiPriority w:val="99"/>
    <w:rsid w:val="00957087"/>
    <w:rPr>
      <w:rFonts w:ascii="Arial" w:eastAsia="Times New Roman" w:hAnsi="Arial" w:cs="Times New Roman"/>
      <w:color w:val="000000"/>
      <w:sz w:val="20"/>
      <w:szCs w:val="20"/>
    </w:rPr>
  </w:style>
  <w:style w:type="character" w:styleId="Odwoanieprzypisudolnego">
    <w:name w:val="footnote reference"/>
    <w:aliases w:val="SUPERS,Footnote Reference Number,Odwołanie przypisu,Footnote symbol,Footnote reference number,note TESI,EN Footnote Reference,Footnote number,Ref,de nota al pie,Odwo3anie przypisu,Times 10 Point,Exposant 3 Point,number,16 Poi"/>
    <w:basedOn w:val="Domylnaczcionkaakapitu"/>
    <w:uiPriority w:val="99"/>
    <w:unhideWhenUsed/>
    <w:qFormat/>
    <w:rsid w:val="00957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Kachniarz</dc:creator>
  <cp:keywords/>
  <dc:description/>
  <cp:lastModifiedBy>Małgorzata Kachniarz</cp:lastModifiedBy>
  <cp:revision>3</cp:revision>
  <dcterms:created xsi:type="dcterms:W3CDTF">2021-11-26T15:58:00Z</dcterms:created>
  <dcterms:modified xsi:type="dcterms:W3CDTF">2021-11-26T15:59:00Z</dcterms:modified>
</cp:coreProperties>
</file>