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519B" w14:textId="77777777" w:rsidR="00A000A2" w:rsidRPr="001B4B8C" w:rsidRDefault="00A000A2" w:rsidP="004D434A">
      <w:pPr>
        <w:pStyle w:val="Nagwek1"/>
      </w:pPr>
      <w:r w:rsidRPr="001B4B8C">
        <w:t>Kryteria wyboru projektów FE SL 2021-2027 Działanie 10.04. Wsparcie dużych przedsiębiorstw na rzecz transformacji</w:t>
      </w:r>
    </w:p>
    <w:p w14:paraId="0270723E" w14:textId="77777777" w:rsidR="00A000A2" w:rsidRPr="001B4B8C" w:rsidRDefault="00A000A2" w:rsidP="007B7928">
      <w:pPr>
        <w:spacing w:before="240"/>
        <w:rPr>
          <w:rFonts w:asciiTheme="minorHAnsi" w:hAnsiTheme="minorHAnsi" w:cstheme="minorHAnsi"/>
          <w:sz w:val="24"/>
          <w:szCs w:val="24"/>
        </w:rPr>
      </w:pPr>
      <w:bookmarkStart w:id="0" w:name="_Toc416782367"/>
      <w:bookmarkStart w:id="1" w:name="_Toc433702088"/>
      <w:r w:rsidRPr="001B4B8C">
        <w:rPr>
          <w:rFonts w:asciiTheme="minorHAnsi" w:hAnsiTheme="minorHAnsi" w:cstheme="minorHAnsi"/>
          <w:sz w:val="24"/>
          <w:szCs w:val="24"/>
        </w:rPr>
        <w:t>Klasyfikacja kryteriów wyboru projektów</w:t>
      </w:r>
      <w:bookmarkEnd w:id="0"/>
      <w:bookmarkEnd w:id="1"/>
    </w:p>
    <w:p w14:paraId="3020B179" w14:textId="41C5EBDC" w:rsidR="00A000A2" w:rsidRPr="001B4B8C" w:rsidRDefault="00A000A2" w:rsidP="007B7928">
      <w:p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>W ramach działań FE SL 2021-2027 wdrażanych przez Śląskie Centrum Przedsiębiorczości stosowane są następujące podstawowe rodzaje kryteriów dokonywania wyboru projektów:</w:t>
      </w:r>
    </w:p>
    <w:p w14:paraId="71452FFE" w14:textId="77777777" w:rsidR="00A000A2" w:rsidRPr="001B4B8C" w:rsidRDefault="00A000A2" w:rsidP="007B79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>Formalne :</w:t>
      </w:r>
    </w:p>
    <w:p w14:paraId="064F1698" w14:textId="77777777" w:rsidR="00A000A2" w:rsidRPr="001B4B8C" w:rsidRDefault="00A000A2" w:rsidP="007B79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>zero-jedynkowe niepodlegające uzupełnieniom;</w:t>
      </w:r>
    </w:p>
    <w:p w14:paraId="23226750" w14:textId="77777777" w:rsidR="00A000A2" w:rsidRPr="001B4B8C" w:rsidRDefault="00A000A2" w:rsidP="007B79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 xml:space="preserve">zero-jedynkowe podlegające uzupełnieniom. </w:t>
      </w:r>
    </w:p>
    <w:p w14:paraId="79E23456" w14:textId="77777777" w:rsidR="00A000A2" w:rsidRPr="001B4B8C" w:rsidRDefault="00A000A2" w:rsidP="004D434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>Merytoryczne:</w:t>
      </w:r>
    </w:p>
    <w:p w14:paraId="49B1F81C" w14:textId="51B5F89A" w:rsidR="00A000A2" w:rsidRPr="001B4B8C" w:rsidRDefault="00A000A2" w:rsidP="004D434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>kryteria zero-jedynkowe.</w:t>
      </w:r>
    </w:p>
    <w:p w14:paraId="4B88285B" w14:textId="77777777" w:rsidR="00A000A2" w:rsidRPr="004D434A" w:rsidRDefault="00A000A2" w:rsidP="004D434A">
      <w:pPr>
        <w:pStyle w:val="Nagwek2"/>
      </w:pPr>
      <w:r w:rsidRPr="004D434A">
        <w:t>Kryteria formalne</w:t>
      </w:r>
    </w:p>
    <w:p w14:paraId="41811143" w14:textId="77777777" w:rsidR="00A000A2" w:rsidRPr="001B4B8C" w:rsidRDefault="00A000A2" w:rsidP="007B7928">
      <w:pPr>
        <w:autoSpaceDE w:val="0"/>
        <w:autoSpaceDN w:val="0"/>
        <w:spacing w:before="24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 xml:space="preserve">Ocena </w:t>
      </w:r>
      <w:r w:rsidRPr="001B4B8C">
        <w:rPr>
          <w:rFonts w:asciiTheme="minorHAnsi" w:hAnsiTheme="minorHAnsi" w:cstheme="minorHAnsi"/>
          <w:sz w:val="24"/>
          <w:szCs w:val="24"/>
          <w:lang w:eastAsia="pl-PL"/>
        </w:rPr>
        <w:t>spełnienia kryteriów formalnych</w:t>
      </w:r>
      <w:r w:rsidRPr="001B4B8C">
        <w:rPr>
          <w:rFonts w:asciiTheme="minorHAnsi" w:hAnsiTheme="minorHAnsi" w:cstheme="minorHAnsi"/>
          <w:sz w:val="24"/>
          <w:szCs w:val="24"/>
        </w:rPr>
        <w:t xml:space="preserve"> przeprowadzana jest w oparciu o zatwierdzone przez Komitet Monitorujący kryteria formalne, służące weryfikacji zgodności wniosku z zapisami rozporządzeń unijnych oraz krajowych (w tym m.in. Rozporządzenia Komisji (UE) nr 651/2014 z dnia 17 czerwca 2014r. z </w:t>
      </w:r>
      <w:proofErr w:type="spellStart"/>
      <w:r w:rsidRPr="001B4B8C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1B4B8C">
        <w:rPr>
          <w:rFonts w:asciiTheme="minorHAnsi" w:hAnsiTheme="minorHAnsi" w:cstheme="minorHAnsi"/>
          <w:sz w:val="24"/>
          <w:szCs w:val="24"/>
        </w:rPr>
        <w:t>. zm. zwanym w niniejszych kryteriach Rozporządzeniem 651/2014; Rozporządzenia Parlamentu Europejskiego i Rady (UE) 2021/1056 z dnia 24 czerwca 2021 r. ustanawiające Fundusz na rzecz Sprawiedliwej Transformacji), a także w odniesieniu do programu Fundusze Europejskie dla Śląskiego 2021-2027, Szczegółowego Opisu Priorytetów programu Fundusze Europejskie dla Śląskiego 2021-2027 obowiązującego na moment zatwierdzenia pakietu aplikacyjnego. Oceny dokonują pracownicy Śląskiego Centrum Przedsiębiorczości – IP FE SL – ŚCP, będący członkami Komisji Oceny Projektów.</w:t>
      </w:r>
    </w:p>
    <w:p w14:paraId="0F8007E4" w14:textId="77777777" w:rsidR="00A000A2" w:rsidRPr="001B4B8C" w:rsidRDefault="00A000A2" w:rsidP="007B7928">
      <w:pPr>
        <w:autoSpaceDE w:val="0"/>
        <w:autoSpaceDN w:val="0"/>
        <w:spacing w:before="24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 xml:space="preserve">Ocena spełnienia kryteriów formalnych prowadzona jest w trybie zero-jedynkowym. Polega na przypisaniu każdemu z kryteriów wartości logicznych TAK / NIE – zasada „0–1” (nie spełnia kryterium / spełnia kryterium). Wszystkie kryteria formalne są obligatoryjne do spełnienia. </w:t>
      </w:r>
    </w:p>
    <w:p w14:paraId="3DBB736B" w14:textId="77777777" w:rsidR="00A000A2" w:rsidRPr="001B4B8C" w:rsidRDefault="00A000A2" w:rsidP="007B7928">
      <w:pPr>
        <w:autoSpaceDE w:val="0"/>
        <w:autoSpaceDN w:val="0"/>
        <w:spacing w:before="24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>Niespełnienie przynajmniej jednego z kryteriów formalnych skutkuje negatywną oceną formalną dla projektu i brakiem przekazania do oceny merytorycznej. Wniosek spełniający wszystkie kryteria formalne jest przekazywany do oceny spełnienia kryteriów merytorycznych.</w:t>
      </w:r>
    </w:p>
    <w:p w14:paraId="5B47B58C" w14:textId="77777777" w:rsidR="00A000A2" w:rsidRPr="001B4B8C" w:rsidRDefault="00A000A2" w:rsidP="007B7928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lastRenderedPageBreak/>
        <w:t>Wynik oceny spełnienia kryteriów formalnych zamieszczany jest na karcie oceny formalnej projektu.</w:t>
      </w:r>
    </w:p>
    <w:p w14:paraId="690CA85A" w14:textId="77777777" w:rsidR="00A000A2" w:rsidRPr="001B4B8C" w:rsidRDefault="00A000A2" w:rsidP="004D434A">
      <w:pPr>
        <w:pStyle w:val="Nagwek2"/>
      </w:pPr>
      <w:r w:rsidRPr="001B4B8C">
        <w:t xml:space="preserve">Tabela </w:t>
      </w:r>
      <w:fldSimple w:instr=" SEQ Tabela \* ARABIC ">
        <w:r w:rsidRPr="001B4B8C">
          <w:rPr>
            <w:noProof/>
          </w:rPr>
          <w:t>1</w:t>
        </w:r>
      </w:fldSimple>
      <w:r w:rsidRPr="001B4B8C">
        <w:t>. Kryteria formalne</w:t>
      </w:r>
    </w:p>
    <w:tbl>
      <w:tblPr>
        <w:tblStyle w:val="Tabela-Siatka"/>
        <w:tblW w:w="14471" w:type="dxa"/>
        <w:tblLook w:val="04A0" w:firstRow="1" w:lastRow="0" w:firstColumn="1" w:lastColumn="0" w:noHBand="0" w:noVBand="1"/>
        <w:tblCaption w:val="Tabela 1. Kryteria formalne"/>
      </w:tblPr>
      <w:tblGrid>
        <w:gridCol w:w="605"/>
        <w:gridCol w:w="2600"/>
        <w:gridCol w:w="4199"/>
        <w:gridCol w:w="2360"/>
        <w:gridCol w:w="2355"/>
        <w:gridCol w:w="2352"/>
      </w:tblGrid>
      <w:tr w:rsidR="00A000A2" w:rsidRPr="001B4B8C" w14:paraId="07E03567" w14:textId="77777777" w:rsidTr="004D434A">
        <w:trPr>
          <w:tblHeader/>
        </w:trPr>
        <w:tc>
          <w:tcPr>
            <w:tcW w:w="605" w:type="dxa"/>
            <w:shd w:val="clear" w:color="auto" w:fill="BFBFBF" w:themeFill="background1" w:themeFillShade="BF"/>
          </w:tcPr>
          <w:p w14:paraId="25A38580" w14:textId="77777777" w:rsidR="00A000A2" w:rsidRPr="001B4B8C" w:rsidRDefault="00A000A2" w:rsidP="007B7928">
            <w:pPr>
              <w:pStyle w:val="Akapitzlist"/>
              <w:spacing w:before="240"/>
              <w:ind w:left="22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2600" w:type="dxa"/>
            <w:shd w:val="clear" w:color="auto" w:fill="BFBFBF" w:themeFill="background1" w:themeFillShade="BF"/>
          </w:tcPr>
          <w:p w14:paraId="0D453C32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4199" w:type="dxa"/>
            <w:shd w:val="clear" w:color="auto" w:fill="BFBFBF" w:themeFill="background1" w:themeFillShade="BF"/>
          </w:tcPr>
          <w:p w14:paraId="34230296" w14:textId="77777777" w:rsidR="00A000A2" w:rsidRPr="001B4B8C" w:rsidRDefault="00A000A2" w:rsidP="007B7928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1B4B8C">
              <w:rPr>
                <w:rFonts w:cstheme="minorHAnsi"/>
                <w:b/>
                <w:sz w:val="24"/>
                <w:szCs w:val="24"/>
              </w:rPr>
              <w:t>Definicja kryterium</w:t>
            </w:r>
          </w:p>
          <w:p w14:paraId="3E2705B7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BFBFBF" w:themeFill="background1" w:themeFillShade="BF"/>
          </w:tcPr>
          <w:p w14:paraId="7A13136C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2355" w:type="dxa"/>
            <w:shd w:val="clear" w:color="auto" w:fill="BFBFBF" w:themeFill="background1" w:themeFillShade="BF"/>
          </w:tcPr>
          <w:p w14:paraId="48DCFD30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Sposób oceny kryterium</w:t>
            </w:r>
          </w:p>
        </w:tc>
        <w:tc>
          <w:tcPr>
            <w:tcW w:w="2352" w:type="dxa"/>
            <w:shd w:val="clear" w:color="auto" w:fill="BFBFBF" w:themeFill="background1" w:themeFillShade="BF"/>
          </w:tcPr>
          <w:p w14:paraId="60E9E417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bookmarkStart w:id="2" w:name="_Hlk125464591"/>
            <w:r w:rsidRPr="001B4B8C">
              <w:rPr>
                <w:rFonts w:cstheme="minorHAnsi"/>
                <w:sz w:val="24"/>
                <w:szCs w:val="24"/>
              </w:rPr>
              <w:t>Szczególne znaczenie kryterium</w:t>
            </w:r>
            <w:bookmarkEnd w:id="2"/>
          </w:p>
        </w:tc>
      </w:tr>
      <w:tr w:rsidR="00A000A2" w:rsidRPr="001B4B8C" w14:paraId="3AF3B55D" w14:textId="77777777" w:rsidTr="00F42AD2">
        <w:tc>
          <w:tcPr>
            <w:tcW w:w="605" w:type="dxa"/>
          </w:tcPr>
          <w:p w14:paraId="3F6D6B3D" w14:textId="77777777" w:rsidR="00A000A2" w:rsidRPr="001B4B8C" w:rsidRDefault="00A000A2" w:rsidP="007B7928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14:paraId="63B7CD30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Przedsięwzięcie i przedsiębiorstwo zostały ujęte w indykatywnym wykazie operacji  i przedsiębiorstw w programie Fundusze Europejskie dla Śląskiego 2021-2027</w:t>
            </w:r>
          </w:p>
        </w:tc>
        <w:tc>
          <w:tcPr>
            <w:tcW w:w="4199" w:type="dxa"/>
          </w:tcPr>
          <w:p w14:paraId="1D4795F6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>Ocenie podlega:</w:t>
            </w:r>
          </w:p>
          <w:p w14:paraId="5E50CAF1" w14:textId="77777777" w:rsidR="00A000A2" w:rsidRPr="001B4B8C" w:rsidRDefault="00A000A2" w:rsidP="007B7928">
            <w:pPr>
              <w:pStyle w:val="Akapitzlist"/>
              <w:numPr>
                <w:ilvl w:val="0"/>
                <w:numId w:val="7"/>
              </w:num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</w:rPr>
              <w:t>czy projekt jest realizowany przez przedsiębiorstwo ujęte w  programie FE SL 2021-2027 i TPST WSL;</w:t>
            </w:r>
          </w:p>
          <w:p w14:paraId="5C8671D1" w14:textId="77777777" w:rsidR="00A000A2" w:rsidRPr="001B4B8C" w:rsidRDefault="00A000A2" w:rsidP="007B7928">
            <w:pPr>
              <w:pStyle w:val="Akapitzlist"/>
              <w:numPr>
                <w:ilvl w:val="0"/>
                <w:numId w:val="7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czy realizowane jest przedsięwzięcie ujęte w  programie FE SL 2021-2027 i TPST WSL</w:t>
            </w:r>
          </w:p>
          <w:p w14:paraId="2CC938D7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60" w:type="dxa"/>
          </w:tcPr>
          <w:p w14:paraId="3E9668BF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Tak</w:t>
            </w:r>
          </w:p>
          <w:p w14:paraId="2B3D3CA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niepodlegające uzupełnieniom</w:t>
            </w:r>
          </w:p>
        </w:tc>
        <w:tc>
          <w:tcPr>
            <w:tcW w:w="2355" w:type="dxa"/>
          </w:tcPr>
          <w:p w14:paraId="674CC7A1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352" w:type="dxa"/>
          </w:tcPr>
          <w:p w14:paraId="07935A16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A000A2" w:rsidRPr="001B4B8C" w14:paraId="5E58B1BA" w14:textId="77777777" w:rsidTr="00F42AD2">
        <w:trPr>
          <w:tblHeader/>
        </w:trPr>
        <w:tc>
          <w:tcPr>
            <w:tcW w:w="605" w:type="dxa"/>
          </w:tcPr>
          <w:p w14:paraId="3281938B" w14:textId="77777777" w:rsidR="00A000A2" w:rsidRPr="001B4B8C" w:rsidRDefault="00A000A2" w:rsidP="007B7928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14:paraId="3005FE69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Kwalifikowalność przedmiotowa projektu</w:t>
            </w:r>
          </w:p>
        </w:tc>
        <w:tc>
          <w:tcPr>
            <w:tcW w:w="4199" w:type="dxa"/>
          </w:tcPr>
          <w:p w14:paraId="70FDBD7C" w14:textId="77777777" w:rsidR="00A000A2" w:rsidRPr="001B4B8C" w:rsidRDefault="00A000A2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Weryfikacji podlega:</w:t>
            </w:r>
          </w:p>
          <w:p w14:paraId="515B38DB" w14:textId="77777777" w:rsidR="00A000A2" w:rsidRPr="001B4B8C" w:rsidRDefault="00A000A2" w:rsidP="007B7928">
            <w:pPr>
              <w:numPr>
                <w:ilvl w:val="0"/>
                <w:numId w:val="8"/>
              </w:numPr>
              <w:spacing w:before="240" w:after="0"/>
              <w:rPr>
                <w:rFonts w:cstheme="minorHAnsi"/>
                <w:sz w:val="24"/>
                <w:szCs w:val="24"/>
                <w:lang w:val="x-none" w:eastAsia="pl-PL"/>
              </w:rPr>
            </w:pPr>
            <w:r w:rsidRPr="001B4B8C">
              <w:rPr>
                <w:rFonts w:cstheme="minorHAnsi"/>
                <w:sz w:val="24"/>
                <w:szCs w:val="24"/>
                <w:lang w:val="x-none" w:eastAsia="pl-PL"/>
              </w:rPr>
              <w:lastRenderedPageBreak/>
              <w:t>czy miejsce realizacji projektu zlokalizowane jest na terenie województwa śląskiego, w jednym z podregionów objętych procesem transformacji, wskazanych w program</w:t>
            </w:r>
            <w:r w:rsidRPr="001B4B8C">
              <w:rPr>
                <w:rFonts w:cstheme="minorHAnsi"/>
                <w:sz w:val="24"/>
                <w:szCs w:val="24"/>
                <w:lang w:eastAsia="pl-PL"/>
              </w:rPr>
              <w:t>ie</w:t>
            </w:r>
            <w:r w:rsidRPr="001B4B8C">
              <w:rPr>
                <w:rFonts w:cstheme="minorHAnsi"/>
                <w:sz w:val="24"/>
                <w:szCs w:val="24"/>
                <w:lang w:val="x-none" w:eastAsia="pl-PL"/>
              </w:rPr>
              <w:t xml:space="preserve"> FE SL 2021-2027</w:t>
            </w:r>
            <w:r w:rsidRPr="001B4B8C" w:rsidDel="00BD7783">
              <w:rPr>
                <w:rFonts w:cstheme="minorHAnsi"/>
                <w:sz w:val="24"/>
                <w:szCs w:val="24"/>
                <w:lang w:val="x-none" w:eastAsia="pl-PL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  <w:lang w:val="x-none" w:eastAsia="pl-PL"/>
              </w:rPr>
              <w:t xml:space="preserve">(w podregionie katowickim, bielskim, tyskim, rybnickim, gliwickim, bytomskim </w:t>
            </w:r>
            <w:r w:rsidRPr="001B4B8C">
              <w:rPr>
                <w:rFonts w:cstheme="minorHAnsi"/>
                <w:sz w:val="24"/>
                <w:szCs w:val="24"/>
                <w:lang w:eastAsia="pl-PL"/>
              </w:rPr>
              <w:t>lub</w:t>
            </w:r>
            <w:r w:rsidRPr="001B4B8C">
              <w:rPr>
                <w:rFonts w:cstheme="minorHAnsi"/>
                <w:sz w:val="24"/>
                <w:szCs w:val="24"/>
                <w:lang w:val="x-none" w:eastAsia="pl-PL"/>
              </w:rPr>
              <w:t xml:space="preserve"> sosnowieckim)</w:t>
            </w:r>
            <w:r w:rsidRPr="001B4B8C">
              <w:rPr>
                <w:rFonts w:cstheme="minorHAnsi"/>
                <w:sz w:val="24"/>
                <w:szCs w:val="24"/>
                <w:lang w:eastAsia="pl-PL"/>
              </w:rPr>
              <w:t>;</w:t>
            </w:r>
            <w:r w:rsidRPr="001B4B8C" w:rsidDel="000574B0">
              <w:rPr>
                <w:rFonts w:cstheme="minorHAnsi"/>
                <w:sz w:val="24"/>
                <w:szCs w:val="24"/>
                <w:lang w:val="x-none" w:eastAsia="pl-PL"/>
              </w:rPr>
              <w:t xml:space="preserve"> </w:t>
            </w:r>
          </w:p>
          <w:p w14:paraId="33A0F84F" w14:textId="490198A2" w:rsidR="00A000A2" w:rsidRPr="001B4B8C" w:rsidRDefault="00A000A2" w:rsidP="007B7928">
            <w:pPr>
              <w:pStyle w:val="Akapitzlist"/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czy Wnioskodawca deklaruje, że projekt realizuje cele działania tj. czy projekt prowadzi do utrzymania miejsc pracy oraz dywersyfikacji działalności uzależnionej od sektora górnictwa węgla kamiennego i energetyki konwencjonalnej</w:t>
            </w:r>
            <w:r w:rsidRPr="001B4B8C" w:rsidDel="008726D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w podregionach górniczych</w:t>
            </w:r>
            <w:r w:rsidRPr="001B4B8C">
              <w:rPr>
                <w:rFonts w:cstheme="minorHAnsi"/>
                <w:sz w:val="24"/>
                <w:szCs w:val="24"/>
              </w:rPr>
              <w:t xml:space="preserve">.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Szczegółowe zapisy na ten temat znajdują się w SZOP FE SL 2021-2027;</w:t>
            </w:r>
          </w:p>
          <w:p w14:paraId="4162C4DE" w14:textId="77777777" w:rsidR="00A000A2" w:rsidRPr="001B4B8C" w:rsidRDefault="00A000A2" w:rsidP="007B7928">
            <w:pPr>
              <w:pStyle w:val="Akapitzlist"/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czy projekt stanowi inwestycję początkową zgodnie z art. 2 pkt. 49 Rozporządzenia 651/2014; </w:t>
            </w:r>
          </w:p>
          <w:p w14:paraId="05274E25" w14:textId="5D49631B" w:rsidR="00A000A2" w:rsidRPr="001B4B8C" w:rsidRDefault="00A000A2" w:rsidP="007B7928">
            <w:pPr>
              <w:pStyle w:val="Akapitzlist"/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 w:themeColor="text1"/>
                <w:sz w:val="24"/>
                <w:szCs w:val="24"/>
              </w:rPr>
              <w:t xml:space="preserve">czy liczba miejsc pracy zaplanowanych do utworzenia i utrzymania jest </w:t>
            </w:r>
            <w:r w:rsidR="007D1288" w:rsidRPr="001B4B8C">
              <w:rPr>
                <w:rFonts w:cstheme="minorHAnsi"/>
                <w:color w:val="000000" w:themeColor="text1"/>
                <w:sz w:val="24"/>
                <w:szCs w:val="24"/>
              </w:rPr>
              <w:t>nie mniejsza niż wskazano w zapisach programu</w:t>
            </w:r>
            <w:r w:rsidRPr="001B4B8C">
              <w:rPr>
                <w:rFonts w:cstheme="minorHAnsi"/>
                <w:color w:val="000000" w:themeColor="text1"/>
                <w:sz w:val="24"/>
                <w:szCs w:val="24"/>
              </w:rPr>
              <w:t xml:space="preserve"> Fundusze Europejskie dla Śląskiego 2021-2027 i TPST WSL;</w:t>
            </w:r>
          </w:p>
          <w:p w14:paraId="4FED9E95" w14:textId="507DEF8F" w:rsidR="00A000A2" w:rsidRPr="001B4B8C" w:rsidRDefault="00A000A2" w:rsidP="007B7928">
            <w:pPr>
              <w:pStyle w:val="Akapitzlist"/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czy przedmiot projektu nie dotyczy rodzajów działalności wykluczonych z możliwości uzyskania wsparcia</w:t>
            </w:r>
            <w:r w:rsidR="007477BE" w:rsidRPr="001B4B8C">
              <w:rPr>
                <w:rFonts w:cstheme="minorHAnsi"/>
                <w:color w:val="000000"/>
                <w:sz w:val="24"/>
                <w:szCs w:val="24"/>
              </w:rPr>
              <w:t xml:space="preserve"> zgodnie z zapisami - Rozporządzenia Parlamentu Europejskiego i Rady (UE) 2021/1058 z dnia 24 czerwca 2021 r. w sprawie </w:t>
            </w:r>
            <w:r w:rsidR="007477BE"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Europejskiego Funduszu Rozwoju Regionalnego i Funduszu Spójności, Rozporządzenia Parlamentu i Rady (UE) nr 2021/1056 wyłączające poszczególne sektory z zakresu wsparcia Funduszu na rzecz Sprawiedliwej Transformacji, Rozporządzenie Komisji (UE) nr 651/2014 r. Rozporządzenie Komisji (UE) nr 1407/2013 z dnia 18 grudnia 2013 r.</w:t>
            </w:r>
            <w:r w:rsidR="002672DA" w:rsidRPr="001B4B8C">
              <w:rPr>
                <w:rFonts w:cstheme="minorHAnsi"/>
                <w:color w:val="000000"/>
                <w:sz w:val="24"/>
                <w:szCs w:val="24"/>
              </w:rPr>
              <w:t>, właściwymi dla podstawy prawnej stanowiącej wsparcie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69E99C5C" w14:textId="77777777" w:rsidR="00A000A2" w:rsidRPr="001B4B8C" w:rsidRDefault="00A000A2" w:rsidP="007B7928">
            <w:pPr>
              <w:pStyle w:val="Akapitzlist"/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czy zachowany został efekt zachęty zgodnie z art. 6 Rozporządzenia 651/2014;</w:t>
            </w:r>
          </w:p>
          <w:p w14:paraId="6D4E2658" w14:textId="0D8D2CC6" w:rsidR="00A000A2" w:rsidRPr="001B4B8C" w:rsidRDefault="00A000A2" w:rsidP="007B7928">
            <w:pPr>
              <w:pStyle w:val="Akapitzlist"/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w sytuacji ubiegania się o pomoc na dywersyfikację oraz zasadniczą zmianę procesu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produkcji istniejącego zakładu, przez duże przedsiębiorstwo, weryfikacji podlega czy spełniony jest warunek określony w art. 14 ust. 7 Rozporządzenia 651/2014 w rozumieniu Rozporządzenia Komisji (UE) nr 2017/1084 z dnia 14 czerwca 2017 r. z </w:t>
            </w:r>
            <w:proofErr w:type="spellStart"/>
            <w:r w:rsidRPr="001B4B8C">
              <w:rPr>
                <w:rFonts w:cstheme="minorHAnsi"/>
                <w:color w:val="000000"/>
                <w:sz w:val="24"/>
                <w:szCs w:val="24"/>
              </w:rPr>
              <w:t>późn</w:t>
            </w:r>
            <w:proofErr w:type="spellEnd"/>
            <w:r w:rsidRPr="001B4B8C">
              <w:rPr>
                <w:rFonts w:cstheme="minorHAnsi"/>
                <w:color w:val="000000"/>
                <w:sz w:val="24"/>
                <w:szCs w:val="24"/>
              </w:rPr>
              <w:t>. zm.</w:t>
            </w:r>
          </w:p>
          <w:p w14:paraId="6A21F627" w14:textId="77777777" w:rsidR="00A000A2" w:rsidRPr="001B4B8C" w:rsidRDefault="00A000A2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60" w:type="dxa"/>
          </w:tcPr>
          <w:p w14:paraId="33ED1D7F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2A91571F" w14:textId="77777777" w:rsidR="00A000A2" w:rsidRPr="001B4B8C" w:rsidRDefault="00A000A2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podlegające uzupełnieniom.</w:t>
            </w:r>
          </w:p>
          <w:p w14:paraId="24C80CC4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  <w:p w14:paraId="299E8024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40A69CC0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  <w:p w14:paraId="52D84A04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14:paraId="4E9C543E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Nie dotyczy</w:t>
            </w:r>
          </w:p>
        </w:tc>
      </w:tr>
      <w:tr w:rsidR="00A000A2" w:rsidRPr="001B4B8C" w14:paraId="70C58948" w14:textId="77777777" w:rsidTr="00F42AD2">
        <w:trPr>
          <w:tblHeader/>
        </w:trPr>
        <w:tc>
          <w:tcPr>
            <w:tcW w:w="605" w:type="dxa"/>
          </w:tcPr>
          <w:p w14:paraId="0BA7194B" w14:textId="77777777" w:rsidR="00A000A2" w:rsidRPr="001B4B8C" w:rsidRDefault="00A000A2" w:rsidP="007B7928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14:paraId="24821B3A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Kwalifikowalność podmiotowa wnioskodawcy</w:t>
            </w:r>
          </w:p>
        </w:tc>
        <w:tc>
          <w:tcPr>
            <w:tcW w:w="4199" w:type="dxa"/>
          </w:tcPr>
          <w:p w14:paraId="2E5B56C4" w14:textId="77777777" w:rsidR="00A000A2" w:rsidRPr="001B4B8C" w:rsidRDefault="00A000A2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Weryfikacji podlega:</w:t>
            </w:r>
          </w:p>
          <w:p w14:paraId="011C56C1" w14:textId="77777777" w:rsidR="00A000A2" w:rsidRPr="001B4B8C" w:rsidRDefault="00A000A2" w:rsidP="007B7928">
            <w:pPr>
              <w:pStyle w:val="Akapitzlist"/>
              <w:numPr>
                <w:ilvl w:val="0"/>
                <w:numId w:val="9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czy Wnioskodawca nie podlega wykluczeniu z ubiegania się o dofinansowanie na podstawie: </w:t>
            </w:r>
          </w:p>
          <w:p w14:paraId="3738CA69" w14:textId="636BDDFF" w:rsidR="00A000A2" w:rsidRPr="001B4B8C" w:rsidRDefault="00A000A2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bookmarkStart w:id="3" w:name="_Hlk130449096"/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a) art. 12 ust. 1 pkt 1 ustawy z dnia 15 czerwca 2012 r. o skutkach powierzania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wykonywania pracy cudzoziemcom przebywającym wbrew przepisom na terytorium Rzeczypospolitej Polskiej (Dz. U. </w:t>
            </w:r>
            <w:r w:rsidR="00EF68DC" w:rsidRPr="001B4B8C">
              <w:rPr>
                <w:rFonts w:cstheme="minorHAnsi"/>
                <w:color w:val="000000"/>
                <w:sz w:val="24"/>
                <w:szCs w:val="24"/>
              </w:rPr>
              <w:t xml:space="preserve">2021 r.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poz. </w:t>
            </w:r>
            <w:r w:rsidR="00EF68DC" w:rsidRPr="001B4B8C">
              <w:rPr>
                <w:rFonts w:cstheme="minorHAnsi"/>
                <w:color w:val="000000"/>
                <w:sz w:val="24"/>
                <w:szCs w:val="24"/>
              </w:rPr>
              <w:t>1745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);</w:t>
            </w:r>
          </w:p>
          <w:p w14:paraId="18B9DCA3" w14:textId="2638CB3E" w:rsidR="00A000A2" w:rsidRPr="001B4B8C" w:rsidRDefault="00A000A2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b) art. 9 ust. 1 pkt 2a ustawy z dnia 28 października 2002 r.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br/>
              <w:t xml:space="preserve">o odpowiedzialności podmiotów zbiorowych za czyny zabronione pod groźbą kary (Dz. U. </w:t>
            </w:r>
            <w:r w:rsidR="00EF68DC" w:rsidRPr="001B4B8C">
              <w:rPr>
                <w:rFonts w:cstheme="minorHAnsi"/>
                <w:color w:val="000000"/>
                <w:sz w:val="24"/>
                <w:szCs w:val="24"/>
              </w:rPr>
              <w:t xml:space="preserve">2020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r. poz. </w:t>
            </w:r>
            <w:r w:rsidR="00EF68DC" w:rsidRPr="001B4B8C">
              <w:rPr>
                <w:rFonts w:cstheme="minorHAnsi"/>
                <w:color w:val="000000"/>
                <w:sz w:val="24"/>
                <w:szCs w:val="24"/>
              </w:rPr>
              <w:t xml:space="preserve">358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z </w:t>
            </w:r>
            <w:proofErr w:type="spellStart"/>
            <w:r w:rsidRPr="001B4B8C">
              <w:rPr>
                <w:rFonts w:cstheme="minorHAnsi"/>
                <w:color w:val="000000"/>
                <w:sz w:val="24"/>
                <w:szCs w:val="24"/>
              </w:rPr>
              <w:t>późn</w:t>
            </w:r>
            <w:proofErr w:type="spellEnd"/>
            <w:r w:rsidRPr="001B4B8C">
              <w:rPr>
                <w:rFonts w:cstheme="minorHAnsi"/>
                <w:color w:val="000000"/>
                <w:sz w:val="24"/>
                <w:szCs w:val="24"/>
              </w:rPr>
              <w:t>. zm.);</w:t>
            </w:r>
          </w:p>
          <w:bookmarkEnd w:id="3"/>
          <w:p w14:paraId="44441FDB" w14:textId="7BFB7328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c) art. 9 rozporządzenia Parlamentu Europejskiego i Rady (UE) 2021/1056 z dnia 24 czerwca 2021 r. ustanawiającego Fundusz na rzecz Sprawiedliwej Transformacji;</w:t>
            </w:r>
          </w:p>
          <w:p w14:paraId="0486E2CA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Weryfikacja w tym zakresie nastąpi w oparciu o złożone we wniosku oświadczenia Wnioskodawcy.</w:t>
            </w:r>
          </w:p>
          <w:p w14:paraId="193EEBE9" w14:textId="5456A872" w:rsidR="00A000A2" w:rsidRPr="001B4B8C" w:rsidRDefault="00A000A2" w:rsidP="007B7928">
            <w:pPr>
              <w:pStyle w:val="Akapitzlist"/>
              <w:numPr>
                <w:ilvl w:val="0"/>
                <w:numId w:val="9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czy Wnioskodawca nie jest przedsiębiorstwem znajdującym się w trudnej sytuacji w rozumieniu art. 2 ust. 18 Rozporządzenia 651/2014.</w:t>
            </w:r>
          </w:p>
          <w:p w14:paraId="28C593C7" w14:textId="1B88F05D" w:rsidR="00A000A2" w:rsidRPr="001B4B8C" w:rsidRDefault="00A000A2" w:rsidP="007B7928">
            <w:pPr>
              <w:pStyle w:val="TableParagraph"/>
              <w:tabs>
                <w:tab w:val="left" w:pos="385"/>
              </w:tabs>
              <w:spacing w:before="240" w:line="276" w:lineRule="auto"/>
              <w:ind w:right="57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  <w:lang w:val="x-none"/>
              </w:rPr>
              <w:t>Na moment złożenia wniosku weryfikacja nastąpi w oparciu o informacje wskazane w formularzu pomocy publicznej.</w:t>
            </w:r>
          </w:p>
          <w:p w14:paraId="5C20D844" w14:textId="6F79D62E" w:rsidR="00A000A2" w:rsidRPr="001B4B8C" w:rsidRDefault="00A000A2" w:rsidP="007B7928">
            <w:pPr>
              <w:pStyle w:val="TableParagraph"/>
              <w:tabs>
                <w:tab w:val="left" w:pos="385"/>
              </w:tabs>
              <w:spacing w:before="240" w:line="276" w:lineRule="auto"/>
              <w:ind w:right="57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Na moment podpisania umowy weryfikacja pozostawania w trudnej sytuacji nastąpi w oparciu o pozyskane informacje (w tym dostarczone przez Wnioskodawcę dokumenty). Pomoc nie może zostać udzielona przedsiębiorstwom pozostającym w trudnej sytuacji.</w:t>
            </w:r>
          </w:p>
          <w:p w14:paraId="1B439FE9" w14:textId="6824253D" w:rsidR="00A000A2" w:rsidRPr="001B4B8C" w:rsidRDefault="00A000A2" w:rsidP="007B7928">
            <w:pPr>
              <w:pStyle w:val="Akapitzlist"/>
              <w:numPr>
                <w:ilvl w:val="0"/>
                <w:numId w:val="9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czy przedsiębiorstwo posiada status</w:t>
            </w:r>
            <w:r w:rsidRPr="001B4B8C">
              <w:rPr>
                <w:rStyle w:val="Odwoanieprzypisudolnego"/>
                <w:rFonts w:cstheme="minorHAnsi"/>
                <w:color w:val="000000"/>
                <w:sz w:val="24"/>
                <w:szCs w:val="24"/>
              </w:rPr>
              <w:footnoteReference w:id="1"/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 dużego przedsiębiorstwa, umożliwiający udzielenie mu wsparcia. </w:t>
            </w:r>
          </w:p>
          <w:p w14:paraId="06BF00B9" w14:textId="7B4B545E" w:rsidR="00A000A2" w:rsidRPr="001B4B8C" w:rsidRDefault="00A000A2" w:rsidP="007B7928">
            <w:pPr>
              <w:pStyle w:val="Akapitzlist"/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Weryfikacja statusu Wnioskodawcy na moment złożenia wniosku zostanie przeprowadzana w  oparciu  o  deklaratywnie wskazaną informację w części A wniosku.</w:t>
            </w:r>
          </w:p>
          <w:p w14:paraId="4A6A6980" w14:textId="74C73EA6" w:rsidR="00A000A2" w:rsidRPr="001B4B8C" w:rsidRDefault="00A000A2" w:rsidP="007B7928">
            <w:pPr>
              <w:pStyle w:val="Akapitzlist"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Weryfikacja statusu nastąpi przed podpisaniem umowy o dofinansowanie w oparciu o pozyskane informacje (w tym dostarczone przez Wnioskodawcę dokumenty).</w:t>
            </w:r>
          </w:p>
          <w:p w14:paraId="6F5E3820" w14:textId="77777777" w:rsidR="00A000A2" w:rsidRPr="001B4B8C" w:rsidRDefault="00A000A2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Kryterium obowiązuje od momentu aplikowania do momentu podpisania umowy.</w:t>
            </w:r>
          </w:p>
        </w:tc>
        <w:tc>
          <w:tcPr>
            <w:tcW w:w="2360" w:type="dxa"/>
          </w:tcPr>
          <w:p w14:paraId="0C9C21A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5CC3F196" w14:textId="77777777" w:rsidR="00A000A2" w:rsidRPr="001B4B8C" w:rsidRDefault="00A000A2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podlegające uzupełnieniom.</w:t>
            </w:r>
          </w:p>
          <w:p w14:paraId="6417F33D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W celu potwierdzenia spełnienia kryterium dopuszczalne jest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wezwanie Wnioskodawcy do przedstawienia wyjaśnień, jak również do uzupełnienia lub poprawy projektu.</w:t>
            </w:r>
          </w:p>
          <w:p w14:paraId="05DB4CA5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5" w:type="dxa"/>
          </w:tcPr>
          <w:p w14:paraId="4918157B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</w:tc>
        <w:tc>
          <w:tcPr>
            <w:tcW w:w="2352" w:type="dxa"/>
          </w:tcPr>
          <w:p w14:paraId="3BFCEAB9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A000A2" w:rsidRPr="001B4B8C" w14:paraId="432E35B6" w14:textId="77777777" w:rsidTr="00F42AD2">
        <w:trPr>
          <w:tblHeader/>
        </w:trPr>
        <w:tc>
          <w:tcPr>
            <w:tcW w:w="605" w:type="dxa"/>
          </w:tcPr>
          <w:p w14:paraId="65307355" w14:textId="77777777" w:rsidR="00A000A2" w:rsidRPr="001B4B8C" w:rsidRDefault="00A000A2" w:rsidP="007B7928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14:paraId="0EC57E8A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Wnioskodawca NIE jest jednostką samorządu terytorialnego (lub podmiotem przez nią</w:t>
            </w:r>
          </w:p>
          <w:p w14:paraId="499434DF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kontrolowanym lub od niej zależnym), która podjęła jakiekolwiek działania dyskryminujące, sprzeczne z zasadami, o których mowa w art. 9 ust. 3 rozporządzenia nr 2021/1060</w:t>
            </w:r>
          </w:p>
        </w:tc>
        <w:tc>
          <w:tcPr>
            <w:tcW w:w="4199" w:type="dxa"/>
          </w:tcPr>
          <w:p w14:paraId="54790901" w14:textId="1ABB5B58" w:rsidR="00A000A2" w:rsidRPr="001B4B8C" w:rsidRDefault="00A000A2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Wsparcie polityki spójności będzie udzielane wyłącznie projektom i podmiotom, które przestrzegają przepisów antydyskryminacyjnych, o których mowa w art. 9 ust. 3 Rozporządzenia PE i Rady nr 2021/1060. W przypadku, gdy Wnioskodawcą jest jednostka samorządu terytorialnego (lub podmiot przez nią kontrolowany lub od niej zależny), która podjęła jakiekolwiek działania dyskryminujące, sprzeczne z zasadami, o których mowa w art. 9 ust. 3 rozporządzenia nr 2021/1060, wsparcie w ramach polityki spójności nie może być udzielone.</w:t>
            </w:r>
          </w:p>
          <w:p w14:paraId="44ED515F" w14:textId="20AC0E52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Kryterium obowiązuje od momentu aplikowania przez cały okres realizacji projektu.</w:t>
            </w:r>
            <w:r w:rsidRPr="001B4B8C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60" w:type="dxa"/>
          </w:tcPr>
          <w:p w14:paraId="5F5772DD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38DE81D2" w14:textId="77777777" w:rsidR="00A000A2" w:rsidRPr="001B4B8C" w:rsidRDefault="00A000A2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podlegające uzupełnieniom.</w:t>
            </w:r>
          </w:p>
          <w:p w14:paraId="371A2FC0" w14:textId="03AE20FB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</w:tc>
        <w:tc>
          <w:tcPr>
            <w:tcW w:w="2355" w:type="dxa"/>
          </w:tcPr>
          <w:p w14:paraId="02A6AC00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  <w:p w14:paraId="4F2127E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14:paraId="4604DA0E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A000A2" w:rsidRPr="001B4B8C" w14:paraId="73A23EC4" w14:textId="77777777" w:rsidTr="00F42AD2">
        <w:trPr>
          <w:tblHeader/>
        </w:trPr>
        <w:tc>
          <w:tcPr>
            <w:tcW w:w="605" w:type="dxa"/>
          </w:tcPr>
          <w:p w14:paraId="5ECF4CCD" w14:textId="77777777" w:rsidR="00A000A2" w:rsidRPr="001B4B8C" w:rsidRDefault="00A000A2" w:rsidP="007B7928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14:paraId="51C22B77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Wnioskowana kwota, wartość procentowa wsparcia oraz wartość wydatków kwalifikowalnych nie przekraczają limitów obowiązujących dla danego rodzaju pomocy.  </w:t>
            </w:r>
          </w:p>
        </w:tc>
        <w:tc>
          <w:tcPr>
            <w:tcW w:w="4199" w:type="dxa"/>
          </w:tcPr>
          <w:p w14:paraId="22B841D8" w14:textId="7BE9C791" w:rsidR="00A000A2" w:rsidRPr="001B4B8C" w:rsidRDefault="00A000A2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Weryfikacji podlega,  czy Wnioskodawca właściwie wyliczył procent  oraz kwotę wsparcia zgodnie z zapisami właściwego rozporządzenia oraz zapisami SZOP FE SL 2021-2027.</w:t>
            </w:r>
            <w:r w:rsidR="00373B85" w:rsidRPr="001B4B8C">
              <w:rPr>
                <w:rFonts w:cstheme="minorHAnsi"/>
                <w:color w:val="000000"/>
                <w:sz w:val="24"/>
                <w:szCs w:val="24"/>
              </w:rPr>
              <w:t>W przypadku ubiegania się o pomoc de minimis maksymalny limit wynosi 85% kosztów kwalifikowalnych.</w:t>
            </w:r>
          </w:p>
          <w:p w14:paraId="769E55FC" w14:textId="529A1204" w:rsidR="00A000A2" w:rsidRPr="001B4B8C" w:rsidRDefault="00A000A2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W przypadku ponoszonych w ramach projektu kosztów prac B+R prawidłowy poziom wsparcia uzależniony jest od rodzaju zaplanowanych prac B+R w ramach projektu oraz od faktu ubiegania się o premię z tytułu szerokiego rozpowszechnienia wyników lub efektywnej współpracy (zgodnie z art. 25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Rozporządzenia 651/2014), o którą ubiega się Wnioskodawca.</w:t>
            </w:r>
          </w:p>
          <w:p w14:paraId="77E60830" w14:textId="7BB20588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W sytuacji, gdy przedsięwzięcie uwzględnia koszty prac B+R, weryfikacji podlega czy wydatki dotyczące inwestycji produkcyjnej stanowią większość całkowitych wydatków kwalifikowalnych projektu.</w:t>
            </w:r>
          </w:p>
          <w:p w14:paraId="4ED4FEE4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60" w:type="dxa"/>
          </w:tcPr>
          <w:p w14:paraId="5C434891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1C43D76B" w14:textId="77777777" w:rsidR="00A000A2" w:rsidRPr="001B4B8C" w:rsidRDefault="00A000A2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podlegające uzupełnieniom.</w:t>
            </w:r>
          </w:p>
          <w:p w14:paraId="686B8343" w14:textId="4A33F1B5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</w:tc>
        <w:tc>
          <w:tcPr>
            <w:tcW w:w="2355" w:type="dxa"/>
          </w:tcPr>
          <w:p w14:paraId="7F9782F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352" w:type="dxa"/>
          </w:tcPr>
          <w:p w14:paraId="728857EE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A000A2" w:rsidRPr="001B4B8C" w14:paraId="2EBF8593" w14:textId="77777777" w:rsidTr="00F42AD2">
        <w:trPr>
          <w:tblHeader/>
        </w:trPr>
        <w:tc>
          <w:tcPr>
            <w:tcW w:w="605" w:type="dxa"/>
          </w:tcPr>
          <w:p w14:paraId="324EE867" w14:textId="77777777" w:rsidR="00A000A2" w:rsidRPr="001B4B8C" w:rsidRDefault="00A000A2" w:rsidP="007B7928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14:paraId="1836935C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Poprawność wypełnienia wniosku</w:t>
            </w:r>
          </w:p>
          <w:p w14:paraId="00BFDF0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oraz spójność zapisów</w:t>
            </w:r>
          </w:p>
        </w:tc>
        <w:tc>
          <w:tcPr>
            <w:tcW w:w="4199" w:type="dxa"/>
          </w:tcPr>
          <w:p w14:paraId="5BDBE8A2" w14:textId="77777777" w:rsidR="00A000A2" w:rsidRPr="001B4B8C" w:rsidRDefault="00A000A2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Weryfikacji podlega:</w:t>
            </w:r>
          </w:p>
          <w:p w14:paraId="1E786792" w14:textId="77777777" w:rsidR="00A000A2" w:rsidRPr="001B4B8C" w:rsidRDefault="00A000A2" w:rsidP="007B7928">
            <w:pPr>
              <w:pStyle w:val="Akapitzlist"/>
              <w:numPr>
                <w:ilvl w:val="0"/>
                <w:numId w:val="9"/>
              </w:num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czy wniosek został napisany w języku polskim; </w:t>
            </w:r>
          </w:p>
          <w:p w14:paraId="0C2A0D61" w14:textId="77777777" w:rsidR="00A000A2" w:rsidRPr="001B4B8C" w:rsidRDefault="00A000A2" w:rsidP="007B7928">
            <w:pPr>
              <w:pStyle w:val="Akapitzlist"/>
              <w:numPr>
                <w:ilvl w:val="0"/>
                <w:numId w:val="9"/>
              </w:num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czy wszystkie pola we wniosku zostały wypełnione zgodnie z Instrukcją wypełniania i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składania wniosku o dofinansowanie;</w:t>
            </w:r>
          </w:p>
          <w:p w14:paraId="445004B3" w14:textId="77777777" w:rsidR="00A000A2" w:rsidRPr="001B4B8C" w:rsidRDefault="00A000A2" w:rsidP="007B7928">
            <w:pPr>
              <w:pStyle w:val="Akapitzlist"/>
              <w:numPr>
                <w:ilvl w:val="0"/>
                <w:numId w:val="9"/>
              </w:num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czy wniosek został napisany w sposób czytelny i zrozumiały a także czy informacje ujęte we wniosku są adekwatne do poszczególnych pól i punktów; w szczególności czy nie zastosowano nieprzyjętych powszechnie skrótów, wykropkowanych miejsc, informacji niezwiązanych z tematem projektu/danego pola lub punktu. Pola i punkty powinny być wypełnione poprzez stosowanie całych wyrazów albo ewentualnie skrótów powszechnie obowiązujących w języku polskim, co umożliwi właściwe zrozumienie zapisów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zawartych we wniosku przez osobę dokonującą oceny. Informacje ujęte we wniosku muszą dotyczyć projektu opisanego we wniosku aplikacyjnym;</w:t>
            </w:r>
          </w:p>
          <w:p w14:paraId="4CD12549" w14:textId="77777777" w:rsidR="00A000A2" w:rsidRPr="001B4B8C" w:rsidRDefault="00A000A2" w:rsidP="007B7928">
            <w:pPr>
              <w:pStyle w:val="Akapitzlist"/>
              <w:numPr>
                <w:ilvl w:val="0"/>
                <w:numId w:val="9"/>
              </w:num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czy termin realizacji projektu jest zgodny z założeniami zawartymi w SZOP FE SL 2021-2027;</w:t>
            </w:r>
          </w:p>
          <w:p w14:paraId="0E904EB2" w14:textId="77777777" w:rsidR="00A000A2" w:rsidRPr="001B4B8C" w:rsidRDefault="00A000A2" w:rsidP="007B7928">
            <w:pPr>
              <w:pStyle w:val="Akapitzlist"/>
              <w:numPr>
                <w:ilvl w:val="0"/>
                <w:numId w:val="9"/>
              </w:num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czy wskaźniki produktu i rezultatu zostały dobrane odpowiednio do zakresu rzeczowego projektu, czy wybrano wszystkie wskaźniki wymagane Regulaminem wyboru projektów, czy wskazano uzasadnienie wartości, częstotliwość pomiaru wskaźników oraz czy  wybrano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prawidłowe narzędzia pomiarów wskaźników;</w:t>
            </w:r>
          </w:p>
          <w:p w14:paraId="7980CBE5" w14:textId="77D28731" w:rsidR="00A000A2" w:rsidRPr="001B4B8C" w:rsidRDefault="00A000A2" w:rsidP="007B7928">
            <w:pPr>
              <w:pStyle w:val="Akapitzlist"/>
              <w:numPr>
                <w:ilvl w:val="0"/>
                <w:numId w:val="9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czy zapisy wniosku są spójne.</w:t>
            </w:r>
          </w:p>
          <w:p w14:paraId="738FD628" w14:textId="629947E1" w:rsidR="00A000A2" w:rsidRPr="001B4B8C" w:rsidRDefault="00A000A2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60" w:type="dxa"/>
          </w:tcPr>
          <w:p w14:paraId="7017A6C7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24811656" w14:textId="45CC9341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podlegające uzupełnieniom. </w:t>
            </w:r>
            <w:r w:rsidRPr="001B4B8C">
              <w:rPr>
                <w:rFonts w:cstheme="minorHAnsi"/>
                <w:sz w:val="24"/>
                <w:szCs w:val="24"/>
              </w:rPr>
              <w:t xml:space="preserve">W celu potwierdzenia spełnienia kryterium dopuszczalne jest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wezwanie Wnioskodawcy do przedstawienia wyjaśnień, jak również do uzupełnienia lub poprawy projektu.</w:t>
            </w:r>
          </w:p>
        </w:tc>
        <w:tc>
          <w:tcPr>
            <w:tcW w:w="2355" w:type="dxa"/>
          </w:tcPr>
          <w:p w14:paraId="0742B384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  <w:p w14:paraId="24ED935D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W celu potwierdzenia spełnienia kryterium dopuszczalne jest wezwanie Wnioskodawcy do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przedstawienia wyjaśnień, jak również do uzupełnienia lub poprawy projektu.</w:t>
            </w:r>
          </w:p>
          <w:p w14:paraId="493B2A6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14:paraId="7DD6A687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Nie dotyczy</w:t>
            </w:r>
          </w:p>
        </w:tc>
      </w:tr>
      <w:tr w:rsidR="00A000A2" w:rsidRPr="001B4B8C" w14:paraId="6B7A5E80" w14:textId="77777777" w:rsidTr="00F42AD2">
        <w:trPr>
          <w:tblHeader/>
        </w:trPr>
        <w:tc>
          <w:tcPr>
            <w:tcW w:w="605" w:type="dxa"/>
          </w:tcPr>
          <w:p w14:paraId="04742E0D" w14:textId="77777777" w:rsidR="00A000A2" w:rsidRPr="001B4B8C" w:rsidRDefault="00A000A2" w:rsidP="007B7928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14:paraId="78174D6F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Poprawność załączników i ich spójność z wnioskiem aplikacyjnym</w:t>
            </w:r>
          </w:p>
        </w:tc>
        <w:tc>
          <w:tcPr>
            <w:tcW w:w="4199" w:type="dxa"/>
          </w:tcPr>
          <w:p w14:paraId="31029BAD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Weryfikacji podlega, czy:</w:t>
            </w:r>
          </w:p>
          <w:p w14:paraId="4C1B1B88" w14:textId="77777777" w:rsidR="00A000A2" w:rsidRPr="001B4B8C" w:rsidRDefault="00A000A2" w:rsidP="007B7928">
            <w:pPr>
              <w:pStyle w:val="Akapitzlist"/>
              <w:numPr>
                <w:ilvl w:val="0"/>
                <w:numId w:val="10"/>
              </w:numPr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Wnioskodawca załączył wszystkie obligatoryjne na etapie aplikowania załączniki;</w:t>
            </w:r>
          </w:p>
          <w:p w14:paraId="4DDFC788" w14:textId="54188F4E" w:rsidR="00A000A2" w:rsidRPr="001B4B8C" w:rsidRDefault="00A000A2" w:rsidP="007B7928">
            <w:pPr>
              <w:pStyle w:val="Akapitzlist"/>
              <w:numPr>
                <w:ilvl w:val="0"/>
                <w:numId w:val="10"/>
              </w:numPr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dołączone do wniosku załączniki są prawidłowo sporządzone, aktualne i wydane przez upoważniony organ (jeśli dotyczy),  a ich zapisy są spójne z zapisami wniosku.</w:t>
            </w:r>
          </w:p>
          <w:p w14:paraId="1CF697DB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Kryterium obowiązuje od momentu aplikowania do momentu podpisania umowy.</w:t>
            </w:r>
          </w:p>
        </w:tc>
        <w:tc>
          <w:tcPr>
            <w:tcW w:w="2360" w:type="dxa"/>
          </w:tcPr>
          <w:p w14:paraId="3B2C722B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20D9B27C" w14:textId="4D3E7DEC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podlegające uzupełnieniom. </w:t>
            </w:r>
            <w:r w:rsidRPr="001B4B8C">
              <w:rPr>
                <w:rFonts w:cstheme="minorHAnsi"/>
                <w:sz w:val="24"/>
                <w:szCs w:val="24"/>
              </w:rPr>
              <w:t xml:space="preserve">W celu potwierdzenia spełnienia kryterium dopuszczalne jest wezwanie Wnioskodawcy do przedstawienia wyjaśnień, jak również do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uzupełnienia lub poprawy projektu.</w:t>
            </w:r>
          </w:p>
        </w:tc>
        <w:tc>
          <w:tcPr>
            <w:tcW w:w="2355" w:type="dxa"/>
          </w:tcPr>
          <w:p w14:paraId="5AA0F4D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  <w:p w14:paraId="6BDDEC57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14:paraId="3BC0B8B2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A000A2" w:rsidRPr="001B4B8C" w14:paraId="045145A7" w14:textId="77777777" w:rsidTr="00F42AD2">
        <w:trPr>
          <w:tblHeader/>
        </w:trPr>
        <w:tc>
          <w:tcPr>
            <w:tcW w:w="605" w:type="dxa"/>
          </w:tcPr>
          <w:p w14:paraId="50884C89" w14:textId="77777777" w:rsidR="00A000A2" w:rsidRPr="001B4B8C" w:rsidRDefault="00A000A2" w:rsidP="007B7928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14:paraId="17ECFD50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Kwalifikowalność wydatków zaplanowanych w projekcie.</w:t>
            </w:r>
          </w:p>
        </w:tc>
        <w:tc>
          <w:tcPr>
            <w:tcW w:w="4199" w:type="dxa"/>
          </w:tcPr>
          <w:p w14:paraId="79BE9BDC" w14:textId="77777777" w:rsidR="00A000A2" w:rsidRPr="001B4B8C" w:rsidRDefault="00A000A2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Weryfikacji podlega: </w:t>
            </w:r>
          </w:p>
          <w:p w14:paraId="206E30CC" w14:textId="77777777" w:rsidR="00A000A2" w:rsidRPr="001B4B8C" w:rsidRDefault="00A000A2" w:rsidP="007B7928">
            <w:pPr>
              <w:pStyle w:val="Akapitzlist"/>
              <w:numPr>
                <w:ilvl w:val="0"/>
                <w:numId w:val="12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czy wydatki planowane do współfinansowania są wydatkami kwalifikowalnymi zgodnie z  zapisami krajowych wytycznych w zakresie kwalifikowalności wydatków w okresie programowania 2021-2027, zapisami SZOP FE SL 2021-2027 oraz Regulaminem wyboru projektów;</w:t>
            </w:r>
          </w:p>
          <w:p w14:paraId="09D8A175" w14:textId="45F532C4" w:rsidR="00A000A2" w:rsidRPr="001B4B8C" w:rsidRDefault="00A000A2" w:rsidP="007B7928">
            <w:pPr>
              <w:pStyle w:val="Akapitzlist"/>
              <w:numPr>
                <w:ilvl w:val="0"/>
                <w:numId w:val="11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czy wydatki mieszczą się w limitach określonych w FE SL 2021-2027, SZOP FE SL 2021-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2027 oraz Regulaminie wyboru projektów.</w:t>
            </w:r>
          </w:p>
          <w:p w14:paraId="56B6ACB1" w14:textId="77777777" w:rsidR="00A000A2" w:rsidRPr="001B4B8C" w:rsidRDefault="00A000A2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60" w:type="dxa"/>
          </w:tcPr>
          <w:p w14:paraId="390BDC11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66408F3F" w14:textId="7171B7B9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podlegające uzupełnieniom. </w:t>
            </w:r>
            <w:r w:rsidRPr="001B4B8C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</w:tc>
        <w:tc>
          <w:tcPr>
            <w:tcW w:w="2355" w:type="dxa"/>
          </w:tcPr>
          <w:p w14:paraId="55C45819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  <w:p w14:paraId="6874ACB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  <w:p w14:paraId="5F12EF6D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  <w:p w14:paraId="7478079B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  <w:p w14:paraId="3BC8AB70" w14:textId="77777777" w:rsidR="00A000A2" w:rsidRPr="001B4B8C" w:rsidRDefault="00A000A2" w:rsidP="007B7928">
            <w:pPr>
              <w:spacing w:before="240"/>
              <w:ind w:firstLine="7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C65B15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A000A2" w:rsidRPr="001B4B8C" w14:paraId="47D394BE" w14:textId="77777777" w:rsidTr="00F42AD2">
        <w:trPr>
          <w:tblHeader/>
        </w:trPr>
        <w:tc>
          <w:tcPr>
            <w:tcW w:w="605" w:type="dxa"/>
          </w:tcPr>
          <w:p w14:paraId="3CE9D27D" w14:textId="77777777" w:rsidR="00A000A2" w:rsidRPr="001B4B8C" w:rsidRDefault="00A000A2" w:rsidP="007B7928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00" w:type="dxa"/>
          </w:tcPr>
          <w:p w14:paraId="713CCF70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Czy Wnioskodawca dokonał nieuzasadnionych zmian? (dotyczy wniosków, które podlegały uzupełnieniom)</w:t>
            </w:r>
          </w:p>
        </w:tc>
        <w:tc>
          <w:tcPr>
            <w:tcW w:w="4199" w:type="dxa"/>
          </w:tcPr>
          <w:p w14:paraId="44EEE736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Weryfikacji podlega,  czy w związku z uzupełnieniem / poprawą dokumentacji aplikacyjnej, nie dokonano nieuzasadnionych zmian, innych niż te wynikające z uzupełnienia / bądź stanowiące uspójnienie dotychczasowych zapisów wniosku, o których mowa w Regulaminie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wyboru projektów</w:t>
            </w:r>
            <w:r w:rsidRPr="001B4B8C">
              <w:rPr>
                <w:rFonts w:cstheme="minorHAnsi"/>
                <w:sz w:val="24"/>
                <w:szCs w:val="24"/>
              </w:rPr>
              <w:t>:</w:t>
            </w:r>
          </w:p>
          <w:p w14:paraId="1C28CF45" w14:textId="77777777" w:rsidR="00A000A2" w:rsidRPr="001B4B8C" w:rsidRDefault="00A000A2" w:rsidP="007B7928">
            <w:pPr>
              <w:pStyle w:val="Akapitzlist"/>
              <w:numPr>
                <w:ilvl w:val="0"/>
                <w:numId w:val="11"/>
              </w:numPr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dodanie / usunięcie wydatku; </w:t>
            </w:r>
          </w:p>
          <w:p w14:paraId="64A45CEF" w14:textId="77777777" w:rsidR="00A000A2" w:rsidRPr="001B4B8C" w:rsidRDefault="00A000A2" w:rsidP="007B7928">
            <w:pPr>
              <w:pStyle w:val="Akapitzlist"/>
              <w:numPr>
                <w:ilvl w:val="0"/>
                <w:numId w:val="11"/>
              </w:numPr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zwiększenie wartości całkowitego dofinansowania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pierwotnie założonego we wniosku;</w:t>
            </w:r>
          </w:p>
          <w:p w14:paraId="3B2CCE33" w14:textId="396EEDB3" w:rsidR="00A000A2" w:rsidRPr="001B4B8C" w:rsidRDefault="00A000A2" w:rsidP="007B7928">
            <w:pPr>
              <w:pStyle w:val="Akapitzlist"/>
              <w:numPr>
                <w:ilvl w:val="0"/>
                <w:numId w:val="11"/>
              </w:numPr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dodanie / usunięcie celu lub rezultatu projektu.</w:t>
            </w:r>
          </w:p>
          <w:p w14:paraId="40EF4C46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60" w:type="dxa"/>
          </w:tcPr>
          <w:p w14:paraId="374DF9CA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4574847D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niepodlegające uzupełnieniom</w:t>
            </w:r>
          </w:p>
        </w:tc>
        <w:tc>
          <w:tcPr>
            <w:tcW w:w="2355" w:type="dxa"/>
          </w:tcPr>
          <w:p w14:paraId="220B7B8A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  <w:p w14:paraId="2D8F2597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14:paraId="67A1DE21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</w:tbl>
    <w:p w14:paraId="1AFE276D" w14:textId="43F04CED" w:rsidR="00A000A2" w:rsidRPr="004D434A" w:rsidRDefault="004D434A" w:rsidP="004D434A">
      <w:pPr>
        <w:pStyle w:val="Nagwek2"/>
      </w:pPr>
      <w:r>
        <w:br/>
      </w:r>
      <w:r w:rsidR="00A000A2" w:rsidRPr="004D434A">
        <w:t>Kryteria merytoryczne</w:t>
      </w:r>
    </w:p>
    <w:p w14:paraId="233B3161" w14:textId="77777777" w:rsidR="00A000A2" w:rsidRPr="001B4B8C" w:rsidRDefault="00A000A2" w:rsidP="007B7928">
      <w:pPr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>Ocena spełnienia kryteriów merytorycznych przeprowadzana jest w oparciu o zatwierdzone przez Komitet Monitorujący kryteria merytoryczne, służące weryfikacji zgodności wniosku z zapisami rozporządzeń unijnych oraz krajowych w odniesieniu do programu Fundusze Europejskie dla Śląskiego 2021 - 2027, Szczegółowego Opisu Priorytetów programu Fundusze Europejskie dla Śląskiego 2021-2027 obowiązującego na moment zatwierdzenia pakietu aplikacyjnego. Oceny kryteriów dokonują członkowie KOP.</w:t>
      </w:r>
    </w:p>
    <w:p w14:paraId="6C0892BA" w14:textId="77777777" w:rsidR="00A000A2" w:rsidRPr="001B4B8C" w:rsidRDefault="00A000A2" w:rsidP="007B7928">
      <w:pPr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>W ramach oceny spełnienia kryteriów merytorycznych projekt poddawany jest ocenie pod kątem kryteriów zero-jedynkowych, czyli przypisaniu każdemu z kryterium wartości logicznych TAK / NIE – zasada „0–1” (nie spełnia kryterium / spełnia kryterium). Wszystkie kryteria merytoryczne są obligatoryjne do spełnienia, spełnienie ich jest warunkiem pozytywnej oceny projektu.</w:t>
      </w:r>
    </w:p>
    <w:p w14:paraId="1FF1D0AD" w14:textId="77777777" w:rsidR="00A000A2" w:rsidRPr="001B4B8C" w:rsidRDefault="00A000A2" w:rsidP="007B7928">
      <w:pPr>
        <w:spacing w:before="240"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ADF2DEE" w14:textId="77777777" w:rsidR="00A000A2" w:rsidRPr="001B4B8C" w:rsidRDefault="00A000A2" w:rsidP="007B7928">
      <w:p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lastRenderedPageBreak/>
        <w:t>Niespełnienie co najmniej jednego kryterium merytorycznego zero-jedynkowego powoduje, że projekt otrzymuje ocenę negatywną i nie kwalifikuje się do dofinansowania.</w:t>
      </w:r>
    </w:p>
    <w:p w14:paraId="7EF1B5F6" w14:textId="77777777" w:rsidR="00A000A2" w:rsidRPr="001B4B8C" w:rsidRDefault="00A000A2" w:rsidP="007B7928">
      <w:pPr>
        <w:pStyle w:val="Legenda"/>
        <w:keepNext/>
        <w:spacing w:before="240" w:line="276" w:lineRule="auto"/>
        <w:rPr>
          <w:rFonts w:cstheme="minorHAnsi"/>
          <w:b/>
          <w:i w:val="0"/>
          <w:iCs w:val="0"/>
          <w:color w:val="auto"/>
          <w:sz w:val="24"/>
          <w:szCs w:val="24"/>
        </w:rPr>
      </w:pPr>
      <w:r w:rsidRPr="001B4B8C">
        <w:rPr>
          <w:rFonts w:cstheme="minorHAnsi"/>
          <w:b/>
          <w:i w:val="0"/>
          <w:iCs w:val="0"/>
          <w:color w:val="auto"/>
          <w:sz w:val="24"/>
          <w:szCs w:val="24"/>
        </w:rPr>
        <w:t>Tabela 2. Kryteria merytoryczne</w:t>
      </w:r>
    </w:p>
    <w:tbl>
      <w:tblPr>
        <w:tblStyle w:val="Tabela-Siatka"/>
        <w:tblW w:w="14471" w:type="dxa"/>
        <w:tblLook w:val="04A0" w:firstRow="1" w:lastRow="0" w:firstColumn="1" w:lastColumn="0" w:noHBand="0" w:noVBand="1"/>
        <w:tblCaption w:val="Tabela 2. Kryteria merytoryczne"/>
      </w:tblPr>
      <w:tblGrid>
        <w:gridCol w:w="639"/>
        <w:gridCol w:w="4018"/>
        <w:gridCol w:w="4028"/>
        <w:gridCol w:w="2174"/>
        <w:gridCol w:w="1877"/>
        <w:gridCol w:w="1735"/>
      </w:tblGrid>
      <w:tr w:rsidR="00A000A2" w:rsidRPr="001B4B8C" w14:paraId="7AC350EB" w14:textId="77777777" w:rsidTr="004D434A">
        <w:trPr>
          <w:tblHeader/>
        </w:trPr>
        <w:tc>
          <w:tcPr>
            <w:tcW w:w="639" w:type="dxa"/>
            <w:shd w:val="clear" w:color="auto" w:fill="BFBFBF" w:themeFill="background1" w:themeFillShade="BF"/>
          </w:tcPr>
          <w:p w14:paraId="19DE888B" w14:textId="77777777" w:rsidR="00A000A2" w:rsidRPr="001B4B8C" w:rsidRDefault="00A000A2" w:rsidP="007B7928">
            <w:pPr>
              <w:pStyle w:val="Akapitzlist"/>
              <w:spacing w:before="240"/>
              <w:ind w:left="22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4018" w:type="dxa"/>
            <w:shd w:val="clear" w:color="auto" w:fill="BFBFBF" w:themeFill="background1" w:themeFillShade="BF"/>
          </w:tcPr>
          <w:p w14:paraId="0928FED0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4028" w:type="dxa"/>
            <w:shd w:val="clear" w:color="auto" w:fill="BFBFBF" w:themeFill="background1" w:themeFillShade="BF"/>
          </w:tcPr>
          <w:p w14:paraId="04C41B87" w14:textId="77777777" w:rsidR="00A000A2" w:rsidRPr="001B4B8C" w:rsidRDefault="00A000A2" w:rsidP="007B7928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1B4B8C">
              <w:rPr>
                <w:rFonts w:cstheme="minorHAnsi"/>
                <w:b/>
                <w:sz w:val="24"/>
                <w:szCs w:val="24"/>
              </w:rPr>
              <w:t>Definicja kryterium</w:t>
            </w:r>
          </w:p>
          <w:p w14:paraId="7260B2BA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BFBFBF" w:themeFill="background1" w:themeFillShade="BF"/>
          </w:tcPr>
          <w:p w14:paraId="02B57B9E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1877" w:type="dxa"/>
            <w:shd w:val="clear" w:color="auto" w:fill="BFBFBF" w:themeFill="background1" w:themeFillShade="BF"/>
          </w:tcPr>
          <w:p w14:paraId="0753FB33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Sposób oceny kryterium</w:t>
            </w:r>
          </w:p>
        </w:tc>
        <w:tc>
          <w:tcPr>
            <w:tcW w:w="1735" w:type="dxa"/>
            <w:shd w:val="clear" w:color="auto" w:fill="BFBFBF" w:themeFill="background1" w:themeFillShade="BF"/>
          </w:tcPr>
          <w:p w14:paraId="3BD879BE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Szczególne znaczenie kryterium</w:t>
            </w:r>
          </w:p>
        </w:tc>
      </w:tr>
      <w:tr w:rsidR="00A000A2" w:rsidRPr="001B4B8C" w14:paraId="06FCFFBC" w14:textId="77777777" w:rsidTr="00F42AD2">
        <w:tc>
          <w:tcPr>
            <w:tcW w:w="639" w:type="dxa"/>
          </w:tcPr>
          <w:p w14:paraId="32042F4C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18" w:type="dxa"/>
          </w:tcPr>
          <w:p w14:paraId="65974E0C" w14:textId="77777777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Projekt realizuje cele działania, dla którego zrealizowano nabór </w:t>
            </w:r>
          </w:p>
        </w:tc>
        <w:tc>
          <w:tcPr>
            <w:tcW w:w="4028" w:type="dxa"/>
          </w:tcPr>
          <w:p w14:paraId="4C0761AA" w14:textId="74C40972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Kryterium zostanie uznane za spełnione w przypadku gdy projekt przyczyni się do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utrzymania</w:t>
            </w:r>
            <w:r w:rsidR="004D434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miejsc pracy oraz dywersyfikacji działalności uzależnionej od sektora górnictwa węgla kamiennego i energetyki konwencjonalnej, zlokalizowanej</w:t>
            </w:r>
            <w:r w:rsidRPr="001B4B8C">
              <w:rPr>
                <w:rFonts w:cstheme="minorHAnsi"/>
                <w:sz w:val="24"/>
                <w:szCs w:val="24"/>
              </w:rPr>
              <w:t xml:space="preserve"> w podregionach górniczych i wpisuje się w działanie wskazane w SZOP FE SL 2021-2027</w:t>
            </w:r>
            <w:r w:rsidR="00DE2650" w:rsidRPr="001B4B8C">
              <w:rPr>
                <w:rFonts w:cstheme="minorHAnsi"/>
                <w:sz w:val="24"/>
                <w:szCs w:val="24"/>
              </w:rPr>
              <w:t xml:space="preserve"> oraz przyczynia się do realizacji wyzwań i celów określonych w Terytorialnym Planie Sprawiedliwej Transformacji Województwa Śląskiego 2030 (w wersji aktualnej na dzień ogłoszenia naboru)</w:t>
            </w:r>
            <w:r w:rsidRPr="001B4B8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E0335A6" w14:textId="6FA1B29B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lastRenderedPageBreak/>
              <w:t>Kryterium nie jest spełnione, kiedy Oceniający uzna, że zakres działań opisanych w projekcie nie realizuje celu działania, dla którego ogłoszono nabór.</w:t>
            </w:r>
          </w:p>
          <w:p w14:paraId="4C2DF05B" w14:textId="77777777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74" w:type="dxa"/>
          </w:tcPr>
          <w:p w14:paraId="196A9EBD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2A587DAC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7" w:type="dxa"/>
          </w:tcPr>
          <w:p w14:paraId="1FD9EE20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735" w:type="dxa"/>
          </w:tcPr>
          <w:p w14:paraId="069115C6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A000A2" w:rsidRPr="001B4B8C" w14:paraId="6DE11004" w14:textId="77777777" w:rsidTr="00F42AD2">
        <w:tc>
          <w:tcPr>
            <w:tcW w:w="639" w:type="dxa"/>
          </w:tcPr>
          <w:p w14:paraId="32EB889E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18" w:type="dxa"/>
          </w:tcPr>
          <w:p w14:paraId="10E4ED84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Luka zatrudnieniowa w rozumieniu art. 11 ust. 2 lit. h) Rozporządzenia Parlamentu Europejskiego i Rady (UE) 2021/1056</w:t>
            </w:r>
          </w:p>
        </w:tc>
        <w:tc>
          <w:tcPr>
            <w:tcW w:w="4028" w:type="dxa"/>
          </w:tcPr>
          <w:p w14:paraId="6563E948" w14:textId="5557B10A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Ocenie podlega czy realizacja projektu przyczyni się do utrzymania miejsc pracy w przedsiębiorstwie</w:t>
            </w:r>
            <w:r w:rsidR="007D1288" w:rsidRPr="001B4B8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D29D103" w14:textId="6003B6C4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 xml:space="preserve">Kryterium nie jest spełnione, kiedy oceniający uzna, że projekt nie </w:t>
            </w:r>
            <w:r w:rsidR="00B43304" w:rsidRPr="001B4B8C">
              <w:rPr>
                <w:rFonts w:cstheme="minorHAnsi"/>
                <w:sz w:val="24"/>
                <w:szCs w:val="24"/>
                <w:lang w:eastAsia="pl-PL"/>
              </w:rPr>
              <w:t>przyczynia się do utrzymania zadeklarowanych miejsc pracy</w:t>
            </w:r>
            <w:r w:rsidRPr="001B4B8C">
              <w:rPr>
                <w:rFonts w:cstheme="minorHAnsi"/>
                <w:sz w:val="24"/>
                <w:szCs w:val="24"/>
                <w:lang w:eastAsia="pl-PL"/>
              </w:rPr>
              <w:t>.</w:t>
            </w:r>
          </w:p>
          <w:p w14:paraId="384439A1" w14:textId="77777777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Kryterium obowiązuje od momentu aplikowania przez cały okres realizacji projektu.</w:t>
            </w:r>
          </w:p>
        </w:tc>
        <w:tc>
          <w:tcPr>
            <w:tcW w:w="2174" w:type="dxa"/>
          </w:tcPr>
          <w:p w14:paraId="2C63B1A7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07A3172F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7" w:type="dxa"/>
          </w:tcPr>
          <w:p w14:paraId="16BD0C71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  <w:p w14:paraId="6D92FE86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3B3B52B7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A000A2" w:rsidRPr="001B4B8C" w14:paraId="535B7E91" w14:textId="77777777" w:rsidTr="00F42AD2">
        <w:tc>
          <w:tcPr>
            <w:tcW w:w="639" w:type="dxa"/>
          </w:tcPr>
          <w:p w14:paraId="6E306BFA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18" w:type="dxa"/>
          </w:tcPr>
          <w:p w14:paraId="52AB3FD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>Potencjał finansowy, organizacyjny i administracyjny Wnioskodawcy</w:t>
            </w:r>
          </w:p>
        </w:tc>
        <w:tc>
          <w:tcPr>
            <w:tcW w:w="4028" w:type="dxa"/>
          </w:tcPr>
          <w:p w14:paraId="0EBD1C36" w14:textId="77777777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Weryfikacji podlega, czy Wnioskodawca posiada potencjał administracyjny, finansowy i organizacyjny niezbędny do realizacji projektu w tym m.in.: </w:t>
            </w:r>
          </w:p>
          <w:p w14:paraId="07EFF5D3" w14:textId="77777777" w:rsidR="00A000A2" w:rsidRPr="001B4B8C" w:rsidRDefault="00A000A2" w:rsidP="007B7928">
            <w:pPr>
              <w:pStyle w:val="Akapitzlist"/>
              <w:numPr>
                <w:ilvl w:val="0"/>
                <w:numId w:val="13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czy posiada odpowiednie zasoby ludzkie (organizacyjne oraz kadrowe); </w:t>
            </w:r>
          </w:p>
          <w:p w14:paraId="1BB64797" w14:textId="77777777" w:rsidR="00A000A2" w:rsidRPr="001B4B8C" w:rsidRDefault="00A000A2" w:rsidP="007B7928">
            <w:pPr>
              <w:pStyle w:val="Akapitzlist"/>
              <w:numPr>
                <w:ilvl w:val="0"/>
                <w:numId w:val="13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czy posiada odpowiednie zasoby techniczne (posiadana infrastruktura); </w:t>
            </w:r>
          </w:p>
          <w:p w14:paraId="3AE53E94" w14:textId="77777777" w:rsidR="00A000A2" w:rsidRPr="001B4B8C" w:rsidRDefault="00A000A2" w:rsidP="007B7928">
            <w:pPr>
              <w:pStyle w:val="Akapitzlist"/>
              <w:numPr>
                <w:ilvl w:val="0"/>
                <w:numId w:val="13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czy zakres projektu, sposób wykonania, okres realizacji, posiadane pozwolenia,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zezwolenia umożliwiają realizację projektu;</w:t>
            </w:r>
          </w:p>
          <w:p w14:paraId="65F96404" w14:textId="2E85AA9A" w:rsidR="00A000A2" w:rsidRPr="001B4B8C" w:rsidRDefault="00A000A2" w:rsidP="007B7928">
            <w:pPr>
              <w:pStyle w:val="Akapitzlist"/>
              <w:numPr>
                <w:ilvl w:val="0"/>
                <w:numId w:val="13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czy Wnioskodawca zweryfikował kwestie dotyczące własności intelektualnej w projekcie – Wnioskodawca zbadał, iż nie ma przeciwskazań do prowadzenia zaplanowanych badań w zakresie własności intelektualnej, dysponuje niezbędnymi do wdrożenia prawami oraz zapewni ich ochronę (dotyczy projektów posiadających koszty prac B+R);</w:t>
            </w:r>
          </w:p>
          <w:p w14:paraId="3E1CE6F7" w14:textId="53BB9327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Weryfikacji podlega, czy Wnioskodawca posiada potencjał finansowy zapewniający wykonalność projektu. Weryfikacji dokonuje się na podstawie załączonych dokumentów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finansowych (m.in. sprawozdań finansowych, ewentualnie dokumentów potwierdzających posiadanie środków na realizację projektu, w sytuacji w której Wnioskodawca dostarczy stosowny załącznik,</w:t>
            </w:r>
            <w:r w:rsidRPr="001B4B8C" w:rsidDel="00CC5512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harmonogramu składania wniosków o zaliczkę/ płatność pośrednią/ płatność końcową), dodatkowych załączników oraz opisu wniosku w tym prognoz finansowych.</w:t>
            </w:r>
          </w:p>
          <w:p w14:paraId="159E27F5" w14:textId="5E0928D1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 ocenie potencjału organizacyjnego i administracyjnego weryfikacji podlega stan zastany jak i deklaratywny (wskazany we wniosku m.in. jako zakres rzeczowy).</w:t>
            </w:r>
          </w:p>
          <w:p w14:paraId="29784252" w14:textId="206FB81D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Kryterium nie jest spełnione, kiedy oceniający uzna, że Wnioskodawca nie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spełnia przynajmniej jednego z wyżej wymienionych aspektów.</w:t>
            </w:r>
          </w:p>
          <w:p w14:paraId="0594FF5C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74" w:type="dxa"/>
          </w:tcPr>
          <w:p w14:paraId="40152F6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07C89176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7" w:type="dxa"/>
          </w:tcPr>
          <w:p w14:paraId="348105D4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  <w:p w14:paraId="54C96510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D3708DA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A000A2" w:rsidRPr="001B4B8C" w14:paraId="3DB13077" w14:textId="77777777" w:rsidTr="00F42AD2">
        <w:tc>
          <w:tcPr>
            <w:tcW w:w="639" w:type="dxa"/>
          </w:tcPr>
          <w:p w14:paraId="781365AD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18" w:type="dxa"/>
          </w:tcPr>
          <w:p w14:paraId="1B30985C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>Metodologia projektu</w:t>
            </w:r>
          </w:p>
        </w:tc>
        <w:tc>
          <w:tcPr>
            <w:tcW w:w="4028" w:type="dxa"/>
            <w:vAlign w:val="center"/>
          </w:tcPr>
          <w:p w14:paraId="037EAE44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 ramach kryterium ocenie podlega:</w:t>
            </w:r>
          </w:p>
          <w:p w14:paraId="2DF01456" w14:textId="77777777" w:rsidR="00A000A2" w:rsidRPr="001B4B8C" w:rsidRDefault="00A000A2" w:rsidP="007B792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czy cel i przedmiot projektu odpowiada na zidentyfikowany oraz precyzyjnie przedstawiony we wniosku problem;</w:t>
            </w:r>
          </w:p>
          <w:p w14:paraId="6E48F278" w14:textId="77777777" w:rsidR="00A000A2" w:rsidRPr="001B4B8C" w:rsidRDefault="00A000A2" w:rsidP="007B792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czy przedstawiono informacje dotyczące otoczenia konkurencyjnego związanego z rezultatem projektu (produkt/ technologia/ usługa) w sposób umożliwiający przeprowadzenie analizy w powyższym zakresie;</w:t>
            </w:r>
          </w:p>
          <w:p w14:paraId="7F8ACD84" w14:textId="77777777" w:rsidR="00A000A2" w:rsidRPr="001B4B8C" w:rsidRDefault="00A000A2" w:rsidP="007B792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czy zaplanowane zadania są niezbędne do osiągnięcia celu i rezultatu, a także adekwatne do przedstawionego problemu;</w:t>
            </w:r>
          </w:p>
          <w:p w14:paraId="0AFB3EC3" w14:textId="27EF54FF" w:rsidR="00A000A2" w:rsidRPr="001B4B8C" w:rsidRDefault="00A000A2" w:rsidP="007B792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czy </w:t>
            </w:r>
            <w:r w:rsidR="001D4DF1" w:rsidRPr="001B4B8C">
              <w:rPr>
                <w:rFonts w:cstheme="minorHAnsi"/>
                <w:sz w:val="24"/>
                <w:szCs w:val="24"/>
              </w:rPr>
              <w:t>działania zaplanowane w projekcie stanowią logiczną całość</w:t>
            </w:r>
            <w:r w:rsidRPr="001B4B8C">
              <w:rPr>
                <w:rFonts w:cstheme="minorHAnsi"/>
                <w:sz w:val="24"/>
                <w:szCs w:val="24"/>
              </w:rPr>
              <w:t>;</w:t>
            </w:r>
          </w:p>
          <w:p w14:paraId="63A3716A" w14:textId="77777777" w:rsidR="00A000A2" w:rsidRPr="001B4B8C" w:rsidRDefault="00A000A2" w:rsidP="007B792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czy zidentyfikowano i opisano ewentualne ryzyka związane z projektem i przewidziano działania eliminujące lub łagodzące ich skutki;</w:t>
            </w:r>
          </w:p>
          <w:p w14:paraId="1042E0A7" w14:textId="77777777" w:rsidR="00A000A2" w:rsidRPr="001B4B8C" w:rsidRDefault="00A000A2" w:rsidP="007B792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czy przewidziany sposób zarządzania w projekcie gwarantuje jego prawidłową realizację;</w:t>
            </w:r>
          </w:p>
          <w:p w14:paraId="70B124C8" w14:textId="77777777" w:rsidR="00A000A2" w:rsidRPr="001B4B8C" w:rsidRDefault="00A000A2" w:rsidP="007B792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czy wskazano kamień milowy (efekt końcowy) każdego z etapów i określono go w sposób mierzalny oraz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wskazano wpływ jego nieosiągnięcia na zasadność kontynuacji projektu (wystarczające jest podanie jednego kamienia milowego dla każdego z etapów) (dotyczy projektów posiadających koszty prac B+R).</w:t>
            </w:r>
          </w:p>
          <w:p w14:paraId="76D92165" w14:textId="78F6F05F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>Kryterium nie jest spełnione, kiedy oceniający uzna, że projekt nie spełnia wszystkich elementów metodologii.</w:t>
            </w:r>
          </w:p>
          <w:p w14:paraId="02E3231F" w14:textId="77777777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74" w:type="dxa"/>
          </w:tcPr>
          <w:p w14:paraId="5EC70073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136931B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7" w:type="dxa"/>
          </w:tcPr>
          <w:p w14:paraId="45A52693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  <w:p w14:paraId="6BC5C139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C929029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A000A2" w:rsidRPr="001B4B8C" w14:paraId="060F98D3" w14:textId="77777777" w:rsidTr="00F42AD2">
        <w:tc>
          <w:tcPr>
            <w:tcW w:w="639" w:type="dxa"/>
          </w:tcPr>
          <w:p w14:paraId="519D0837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18" w:type="dxa"/>
          </w:tcPr>
          <w:p w14:paraId="10510EA9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>Realizacja wskaźników</w:t>
            </w:r>
          </w:p>
        </w:tc>
        <w:tc>
          <w:tcPr>
            <w:tcW w:w="4028" w:type="dxa"/>
          </w:tcPr>
          <w:p w14:paraId="10AC135C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Weryfikacji podlega: </w:t>
            </w:r>
          </w:p>
          <w:p w14:paraId="346F591C" w14:textId="77777777" w:rsidR="00A000A2" w:rsidRPr="001B4B8C" w:rsidRDefault="00A000A2" w:rsidP="007B7928">
            <w:pPr>
              <w:pStyle w:val="Akapitzlist"/>
              <w:numPr>
                <w:ilvl w:val="0"/>
                <w:numId w:val="15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czy zaplanowane do osiągnięcia w projekcie efekty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 xml:space="preserve">w postaci wskaźników są możliwe do zrealizowania przy pomocy działań zaplanowanych w projekcie; </w:t>
            </w:r>
          </w:p>
          <w:p w14:paraId="2EBA52DA" w14:textId="77777777" w:rsidR="00A000A2" w:rsidRPr="001B4B8C" w:rsidRDefault="00A000A2" w:rsidP="007B7928">
            <w:pPr>
              <w:pStyle w:val="Akapitzlist"/>
              <w:numPr>
                <w:ilvl w:val="0"/>
                <w:numId w:val="15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czy zaplanowane wskaźniki przyczynią się do osiągnięcia celów i rezultatów zaplanowanych dla działania i wskazanych w SZOP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 FE SL 2021-2027</w:t>
            </w:r>
            <w:r w:rsidRPr="001B4B8C">
              <w:rPr>
                <w:rFonts w:cstheme="minorHAnsi"/>
                <w:sz w:val="24"/>
                <w:szCs w:val="24"/>
              </w:rPr>
              <w:t>.</w:t>
            </w:r>
          </w:p>
          <w:p w14:paraId="3D093A34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 przypadku przeprowadzenia nieprawidłowego oszacowania (wartość docelowa wskaźnika jest zaniżona lub zawyżona), oceniający ma możliwość dokonania korekty uwzględniającej wskazanie prawidłowej wartości wskaźnika.</w:t>
            </w:r>
          </w:p>
          <w:p w14:paraId="05BD4257" w14:textId="3470636D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Procedura korekty wskaźników zostanie określona w Regulaminie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wyboru projektów. W sytuacji konieczności dokonania korekty w ramach przedmiotowego kryterium, Wnioskodawca zostanie poproszony o stosowną poprawę wniosku przed podpisaniem umowy o dofinansowanie.</w:t>
            </w:r>
          </w:p>
          <w:p w14:paraId="3EB09377" w14:textId="56A30A43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nie jest spełnione, kiedy oceniający uzna, że zakres działań jest niewystarczający do osiągnięcia wskaźników.</w:t>
            </w:r>
          </w:p>
          <w:p w14:paraId="17161459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74" w:type="dxa"/>
          </w:tcPr>
          <w:p w14:paraId="4517652F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2D91A786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7" w:type="dxa"/>
          </w:tcPr>
          <w:p w14:paraId="47D4854A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735" w:type="dxa"/>
          </w:tcPr>
          <w:p w14:paraId="3F0A37E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A000A2" w:rsidRPr="001B4B8C" w14:paraId="79750FAA" w14:textId="77777777" w:rsidTr="00F42AD2">
        <w:tc>
          <w:tcPr>
            <w:tcW w:w="639" w:type="dxa"/>
          </w:tcPr>
          <w:p w14:paraId="1F668C74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18" w:type="dxa"/>
          </w:tcPr>
          <w:p w14:paraId="3C2701A7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>Zasadność i odpowiednia wysokość wydatków</w:t>
            </w:r>
          </w:p>
        </w:tc>
        <w:tc>
          <w:tcPr>
            <w:tcW w:w="4028" w:type="dxa"/>
          </w:tcPr>
          <w:p w14:paraId="3F773065" w14:textId="0DD96B65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 xml:space="preserve">Ocenie podlega, czy wszystkie wydatki są zasadne z punktu widzenia realizacji i wykonalności inwestycji, oraz czy ich wysokość jest porównywalna z cenami </w:t>
            </w:r>
            <w:r w:rsidRPr="001B4B8C">
              <w:rPr>
                <w:rFonts w:cstheme="minorHAnsi"/>
                <w:sz w:val="24"/>
                <w:szCs w:val="24"/>
                <w:lang w:eastAsia="pl-PL"/>
              </w:rPr>
              <w:lastRenderedPageBreak/>
              <w:t>rynkowymi</w:t>
            </w:r>
            <w:r w:rsidR="00DE2650" w:rsidRPr="001B4B8C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="00DE2650" w:rsidRPr="001B4B8C">
              <w:rPr>
                <w:rFonts w:cstheme="minorHAnsi"/>
                <w:sz w:val="24"/>
                <w:szCs w:val="24"/>
              </w:rPr>
              <w:t xml:space="preserve">oraz czy wydatki wpisują się w </w:t>
            </w:r>
            <w:r w:rsidR="00D02529" w:rsidRPr="001B4B8C">
              <w:rPr>
                <w:rFonts w:cstheme="minorHAnsi"/>
                <w:sz w:val="24"/>
                <w:szCs w:val="24"/>
              </w:rPr>
              <w:t xml:space="preserve">inwestycje produkcyjne w przedsiębiorstwach innych niż MŚP </w:t>
            </w:r>
            <w:r w:rsidR="00DE2650" w:rsidRPr="001B4B8C">
              <w:rPr>
                <w:rFonts w:cstheme="minorHAnsi"/>
                <w:sz w:val="24"/>
                <w:szCs w:val="24"/>
              </w:rPr>
              <w:t>prowadząc</w:t>
            </w:r>
            <w:r w:rsidR="00915A24" w:rsidRPr="001B4B8C">
              <w:rPr>
                <w:rFonts w:cstheme="minorHAnsi"/>
                <w:sz w:val="24"/>
                <w:szCs w:val="24"/>
              </w:rPr>
              <w:t>e</w:t>
            </w:r>
            <w:r w:rsidR="00DE2650" w:rsidRPr="001B4B8C">
              <w:rPr>
                <w:rFonts w:cstheme="minorHAnsi"/>
                <w:sz w:val="24"/>
                <w:szCs w:val="24"/>
              </w:rPr>
              <w:t xml:space="preserve"> do dywersyfikacji gospodarczej (zgodnie z art. 8 Rozporządzenia (UE) 2021/1056)</w:t>
            </w:r>
            <w:r w:rsidRPr="001B4B8C">
              <w:rPr>
                <w:rFonts w:cstheme="minorHAnsi"/>
                <w:sz w:val="24"/>
                <w:szCs w:val="24"/>
                <w:lang w:eastAsia="pl-PL"/>
              </w:rPr>
              <w:t>.</w:t>
            </w:r>
          </w:p>
          <w:p w14:paraId="3EB86F14" w14:textId="47CD98FC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 xml:space="preserve">Oceniający mają możliwość korekty wydatków w przypadku uznania ich za niezasadne lub o zawyżonej wartości. Poziom obniżenia lub uznanie wydatku za nieuzasadniony nie może przekroczyć 20% wartości całkowitych wydatków kwalifikowanych projektu. Oceniający projekt wypracowują stanowisko odnośnie korekty wydatków i odnotowują ten fakt na karcie oceny merytorycznej. Jeżeli zdaniem oceniających, więcej niż 20% wartości wydatków kwalifikowanych jest nieuzasadnione lub zawyżone </w:t>
            </w:r>
            <w:r w:rsidRPr="001B4B8C">
              <w:rPr>
                <w:rFonts w:cstheme="minorHAnsi"/>
                <w:sz w:val="24"/>
                <w:szCs w:val="24"/>
                <w:lang w:eastAsia="pl-PL"/>
              </w:rPr>
              <w:lastRenderedPageBreak/>
              <w:t xml:space="preserve">uznaje się, że projekt nie spełnia kryterium. Procedura korekty została wskazana w Regulaminie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wyboru projektów</w:t>
            </w:r>
            <w:r w:rsidRPr="001B4B8C">
              <w:rPr>
                <w:rFonts w:cstheme="minorHAnsi"/>
                <w:sz w:val="24"/>
                <w:szCs w:val="24"/>
                <w:lang w:eastAsia="pl-PL"/>
              </w:rPr>
              <w:t>.</w:t>
            </w:r>
          </w:p>
          <w:p w14:paraId="03B99A43" w14:textId="3572E3EC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>Wnioskodawca zostanie poproszony o stosowną poprawę wniosku przed podpisaniem umowy o dofinansowanie.</w:t>
            </w:r>
          </w:p>
          <w:p w14:paraId="025FA1BC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74" w:type="dxa"/>
          </w:tcPr>
          <w:p w14:paraId="29CC4EEA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1DFC218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7" w:type="dxa"/>
          </w:tcPr>
          <w:p w14:paraId="6C9F2390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735" w:type="dxa"/>
          </w:tcPr>
          <w:p w14:paraId="30243E41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A000A2" w:rsidRPr="001B4B8C" w14:paraId="43532BBB" w14:textId="77777777" w:rsidTr="00F42AD2">
        <w:tc>
          <w:tcPr>
            <w:tcW w:w="639" w:type="dxa"/>
          </w:tcPr>
          <w:p w14:paraId="1AE6D49C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18" w:type="dxa"/>
          </w:tcPr>
          <w:p w14:paraId="24773539" w14:textId="203EBAB8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Projekt spełnia zasady udzielania pomocy publicznej</w:t>
            </w:r>
            <w:r w:rsidR="00892455" w:rsidRPr="001B4B8C">
              <w:rPr>
                <w:rFonts w:cstheme="minorHAnsi"/>
                <w:sz w:val="24"/>
                <w:szCs w:val="24"/>
              </w:rPr>
              <w:t xml:space="preserve"> oraz pomocy de minimis</w:t>
            </w:r>
          </w:p>
        </w:tc>
        <w:tc>
          <w:tcPr>
            <w:tcW w:w="4028" w:type="dxa"/>
          </w:tcPr>
          <w:p w14:paraId="0C41894D" w14:textId="77777777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 ramach kryterium weryfikacji podlega:</w:t>
            </w:r>
          </w:p>
          <w:p w14:paraId="493D0E49" w14:textId="77777777" w:rsidR="00A000A2" w:rsidRPr="001B4B8C" w:rsidRDefault="00A000A2" w:rsidP="007B7928">
            <w:pPr>
              <w:pStyle w:val="Akapitzlist"/>
              <w:numPr>
                <w:ilvl w:val="0"/>
                <w:numId w:val="17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czy poprawnie wyliczono poziom wsparcia oraz intensywność (%) mając na uwadze przepisy dotyczące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 xml:space="preserve">pomocy publicznej – w szczególności art. 14, 25, 31 Rozporządzenia 651/2014; Rozporządzenie 1407/2013 w zakresie stosowania pomocy de minimis oraz zasady finansowania projektów obowiązujące dla działania (wskazane m.in. w SZOP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FE SL</w:t>
            </w:r>
            <w:r w:rsidRPr="001B4B8C">
              <w:rPr>
                <w:rFonts w:cstheme="minorHAnsi"/>
                <w:sz w:val="24"/>
                <w:szCs w:val="24"/>
              </w:rPr>
              <w:t xml:space="preserve"> 2021-2027);czy uwzględniono warunki obowiązujące w ramach poszczególnych artykułów oraz czy są one spełnione. </w:t>
            </w:r>
          </w:p>
          <w:p w14:paraId="4659F304" w14:textId="77777777" w:rsidR="00A000A2" w:rsidRPr="001B4B8C" w:rsidRDefault="00A000A2" w:rsidP="007B7928">
            <w:pPr>
              <w:pStyle w:val="Akapitzlist"/>
              <w:numPr>
                <w:ilvl w:val="0"/>
                <w:numId w:val="17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w przypadku ubiegania się o pomoc w oparciu o art. 25 Rozporządzenia 651/2014, w ramach kryterium zweryfikowane zostanie czy Wnioskodawca właściwie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wyliczył wnioskowaną kwotę oraz intensywność (%) wsparcia;</w:t>
            </w:r>
          </w:p>
          <w:p w14:paraId="602A9FE2" w14:textId="3792ECE1" w:rsidR="00A000A2" w:rsidRPr="001B4B8C" w:rsidRDefault="00A000A2" w:rsidP="007B7928">
            <w:pPr>
              <w:pStyle w:val="Akapitzlist"/>
              <w:numPr>
                <w:ilvl w:val="0"/>
                <w:numId w:val="17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 przypadku gdy w projekcie uwzględniono koszty prac B+R ocenie podlega również czy zaplanowane koszty dotyczą realizacji badań przemysłowych i eksperymentalnych prac rozwojowych albo eksperymentalnych prac rozwojowych.</w:t>
            </w:r>
          </w:p>
          <w:p w14:paraId="04EAF8B1" w14:textId="1A96469D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 sytuacji konieczności dokonania korekty w ramach przedmiotowego kryterium, Wnioskodawca zostanie poproszony o stosowną poprawę wniosku przed podpisaniem umowy o dofinansowanie.</w:t>
            </w:r>
          </w:p>
          <w:p w14:paraId="27DF97B1" w14:textId="121FA478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Kryterium nie jest spełnione, kiedy oceniający uzna, iż projekt nie spełnia zasad udzielenia pomocy publicznej</w:t>
            </w:r>
            <w:r w:rsidR="00E45365" w:rsidRPr="001B4B8C">
              <w:rPr>
                <w:rFonts w:cstheme="minorHAnsi"/>
                <w:sz w:val="24"/>
                <w:szCs w:val="24"/>
              </w:rPr>
              <w:t xml:space="preserve"> oraz pomocy de minimis</w:t>
            </w:r>
            <w:r w:rsidRPr="001B4B8C">
              <w:rPr>
                <w:rFonts w:cstheme="minorHAnsi"/>
                <w:sz w:val="24"/>
                <w:szCs w:val="24"/>
              </w:rPr>
              <w:t>.</w:t>
            </w:r>
          </w:p>
          <w:p w14:paraId="47CB2ACE" w14:textId="77777777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74" w:type="dxa"/>
          </w:tcPr>
          <w:p w14:paraId="583601F1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2AF563FA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7" w:type="dxa"/>
          </w:tcPr>
          <w:p w14:paraId="2309371A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735" w:type="dxa"/>
          </w:tcPr>
          <w:p w14:paraId="3393ACA6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A000A2" w:rsidRPr="001B4B8C" w14:paraId="63611046" w14:textId="77777777" w:rsidTr="00F42AD2">
        <w:tc>
          <w:tcPr>
            <w:tcW w:w="639" w:type="dxa"/>
          </w:tcPr>
          <w:p w14:paraId="68C16D16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18" w:type="dxa"/>
          </w:tcPr>
          <w:p w14:paraId="3B29A624" w14:textId="239C917B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>Projekt spełnia</w:t>
            </w:r>
            <w:r w:rsidR="008640FB" w:rsidRPr="001B4B8C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  <w:lang w:eastAsia="pl-PL"/>
              </w:rPr>
              <w:t>zasady wsparcia inwestycji początkowej zgodnie z art. 14 Rozporządzenia (UE) nr 651/2014</w:t>
            </w:r>
          </w:p>
        </w:tc>
        <w:tc>
          <w:tcPr>
            <w:tcW w:w="4028" w:type="dxa"/>
          </w:tcPr>
          <w:p w14:paraId="2FC7ED44" w14:textId="62F5423E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Weryfikacji podlega, czy Wnioskodawca wybrał prawidłowy typ inwestycji początkowej (zasadnicza zmiana procesu produkcji lub dywersyfikacja istniejącego zakładu lub utworzenie nowego zakładu) i czy wszystkie warunki specyficzne dla danego typu inwestycji początkowej są spełnione.</w:t>
            </w:r>
          </w:p>
          <w:p w14:paraId="23E60C64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 xml:space="preserve">Duże przedsiębiorstwo, zgodnie z zapisami Rozporządzenia 651/2014 zobowiązane jest do spełnienia następujących warunków specyficznych wskazanych dla danego typu inwestycji początkowej: </w:t>
            </w:r>
          </w:p>
          <w:p w14:paraId="4B762521" w14:textId="77777777" w:rsidR="00A000A2" w:rsidRPr="001B4B8C" w:rsidRDefault="00A000A2" w:rsidP="007B7928">
            <w:pPr>
              <w:pStyle w:val="TableParagraph"/>
              <w:numPr>
                <w:ilvl w:val="0"/>
                <w:numId w:val="16"/>
              </w:numPr>
              <w:spacing w:before="24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 przypadku pomocy przyznanej na zasadniczą zmianę procesu produkcji koszty kwalifikowalne muszą przekraczać koszty amortyzacji aktywów związanej z działalnością podlegającą modernizacji w ciągu poprzedzających trzech lat obrotowych;</w:t>
            </w:r>
          </w:p>
          <w:p w14:paraId="29E4B6A9" w14:textId="095393CA" w:rsidR="00A000A2" w:rsidRPr="001B4B8C" w:rsidRDefault="00A000A2" w:rsidP="007B7928">
            <w:pPr>
              <w:pStyle w:val="TableParagraph"/>
              <w:numPr>
                <w:ilvl w:val="0"/>
                <w:numId w:val="16"/>
              </w:numPr>
              <w:spacing w:before="24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w przypadku pomocy przyznanej na dywersyfikację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istniejącego zakładu koszty kwalifikowalne muszą przekraczać o co najmniej 200 % wartość księgową ponownie wykorzystywanych aktywów, odnotowaną w roku obrotowym poprzedzającym rozpoczęcie prac.</w:t>
            </w:r>
          </w:p>
          <w:p w14:paraId="2B902E9A" w14:textId="66595C56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nie jest spełnione, kiedy oceniający uzna, że projekt nie spełnia zasady wsparcia inwestycji początkowej zgodnie z art. 14 Rozporządzenia (UE) nr 651/2014.</w:t>
            </w:r>
          </w:p>
          <w:p w14:paraId="55588117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74" w:type="dxa"/>
          </w:tcPr>
          <w:p w14:paraId="3F5D4392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77F6074F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7" w:type="dxa"/>
          </w:tcPr>
          <w:p w14:paraId="348368A5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735" w:type="dxa"/>
          </w:tcPr>
          <w:p w14:paraId="30526107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A000A2" w:rsidRPr="001B4B8C" w14:paraId="558A8B77" w14:textId="77777777" w:rsidTr="00F42AD2">
        <w:tc>
          <w:tcPr>
            <w:tcW w:w="639" w:type="dxa"/>
          </w:tcPr>
          <w:p w14:paraId="1DBA3941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18" w:type="dxa"/>
          </w:tcPr>
          <w:p w14:paraId="0C3334B4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Zgodność projektu ze Strategią Rozwoju Województwa Śląskiego „ŚLĄSKIE 2030” – Zielone Śląskie</w:t>
            </w:r>
          </w:p>
        </w:tc>
        <w:tc>
          <w:tcPr>
            <w:tcW w:w="4028" w:type="dxa"/>
            <w:vAlign w:val="center"/>
          </w:tcPr>
          <w:p w14:paraId="0AE8189E" w14:textId="0D384055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Weryfikacji podlega, czy projekt realizuje cele Strategii Rozwoju Województwa Śląskiego „ŚLĄSKIE 2030” – Zielone Śląskie.</w:t>
            </w:r>
          </w:p>
          <w:p w14:paraId="2D4DB56E" w14:textId="4208AC29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zostanie spełnione wyłącznie w przypadku, gdy projekt realizuje przynajmniej jeden cel strategii.</w:t>
            </w:r>
          </w:p>
          <w:p w14:paraId="1936130E" w14:textId="77777777" w:rsidR="00A000A2" w:rsidRPr="001B4B8C" w:rsidRDefault="00A000A2" w:rsidP="007B7928">
            <w:pPr>
              <w:pStyle w:val="TableParagraph"/>
              <w:spacing w:before="24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74" w:type="dxa"/>
          </w:tcPr>
          <w:p w14:paraId="4A85CE9C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Tak</w:t>
            </w:r>
          </w:p>
          <w:p w14:paraId="0A541E4D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7" w:type="dxa"/>
          </w:tcPr>
          <w:p w14:paraId="581B2B77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735" w:type="dxa"/>
          </w:tcPr>
          <w:p w14:paraId="255F569D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A000A2" w:rsidRPr="001B4B8C" w14:paraId="223EAB29" w14:textId="77777777" w:rsidTr="00F42AD2">
        <w:tc>
          <w:tcPr>
            <w:tcW w:w="639" w:type="dxa"/>
          </w:tcPr>
          <w:p w14:paraId="3F154A8B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18" w:type="dxa"/>
          </w:tcPr>
          <w:p w14:paraId="2ED98912" w14:textId="5368A709" w:rsidR="00A000A2" w:rsidRPr="001B4B8C" w:rsidRDefault="00DE2650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>Zgodność projektu z zasadą równości szans i niedyskryminacji, w tym dostępności dla osób z niepełnosprawnościami</w:t>
            </w:r>
          </w:p>
        </w:tc>
        <w:tc>
          <w:tcPr>
            <w:tcW w:w="4028" w:type="dxa"/>
          </w:tcPr>
          <w:p w14:paraId="663705AA" w14:textId="0AC576A6" w:rsidR="00084BB3" w:rsidRPr="001B4B8C" w:rsidRDefault="00084BB3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Przez zgodność projektu z zasadą równości szans i niedyskryminacji, w tym dostępności dla osób z niepełnosprawnościami należy rozumieć  pozytywny wpływ projektu na realizację tej zasady, czyli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 xml:space="preserve">zapewnienie dostępności infrastruktury, środków transportu, towarów, usług, technologii i systemów informacyjno-komunikacyjnych oraz wszelkich produktów projektów (w tym także usług), które nie zostały uznane za neutralne, dla wszystkich ich użytkowników/użytkowniczek, bez jakiejkolwiek dyskryminacji ze względu na przesłanki określone w art. 9 Rozporządzenia 2021/1060 – zgodnie ze standardami dostępności stanowiącymi załącznik do Wytycznych dotyczących realizacji zasad równościowych w ramach funduszy unijnych na lata 2021-2027. Przy konstrukcji założeń projektu należy uwzględnić uniwersalne projektowanie  (np. poprzez standardy dostępności)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lub jeśli to niemożliwe – racjonalne usprawnienie (oba zdefiniowanie w ww. Wytycznych). W przypadku nowych produktów projektów (np. zasobów cyfrowych, środków transportu, infrastruktury, usług) muszą one być zgodne z zasadami uniwersalnego projektowania – co oznacza co najmniej zastosowanie standardów dostępności dla polityki spójności na lata 2021-2027. W przypadku obiektów i zasobów  modernizowanych</w:t>
            </w:r>
            <w:r w:rsidR="00373B85" w:rsidRPr="001B4B8C">
              <w:rPr>
                <w:rStyle w:val="Odwoanieprzypisudolnego"/>
                <w:rFonts w:cstheme="minorHAnsi"/>
                <w:sz w:val="24"/>
                <w:szCs w:val="24"/>
              </w:rPr>
              <w:footnoteReference w:id="2"/>
            </w:r>
            <w:r w:rsidRPr="001B4B8C">
              <w:rPr>
                <w:rFonts w:cstheme="minorHAnsi"/>
                <w:sz w:val="24"/>
                <w:szCs w:val="24"/>
              </w:rPr>
              <w:t xml:space="preserve">  (m.in. przebudowa</w:t>
            </w:r>
            <w:r w:rsidR="00373B85" w:rsidRPr="001B4B8C">
              <w:rPr>
                <w:rStyle w:val="Odwoanieprzypisudolnego"/>
                <w:rFonts w:cstheme="minorHAnsi"/>
                <w:sz w:val="24"/>
                <w:szCs w:val="24"/>
              </w:rPr>
              <w:footnoteReference w:id="3"/>
            </w:r>
            <w:r w:rsidRPr="001B4B8C">
              <w:rPr>
                <w:rFonts w:cstheme="minorHAnsi"/>
                <w:sz w:val="24"/>
                <w:szCs w:val="24"/>
              </w:rPr>
              <w:t>, rozbudowa</w:t>
            </w:r>
            <w:r w:rsidR="00373B85" w:rsidRPr="001B4B8C">
              <w:rPr>
                <w:rStyle w:val="Odwoanieprzypisudolnego"/>
                <w:rFonts w:cstheme="minorHAnsi"/>
                <w:sz w:val="24"/>
                <w:szCs w:val="24"/>
              </w:rPr>
              <w:footnoteReference w:id="4"/>
            </w:r>
            <w:r w:rsidRPr="001B4B8C">
              <w:rPr>
                <w:rFonts w:cstheme="minorHAnsi"/>
                <w:sz w:val="24"/>
                <w:szCs w:val="24"/>
              </w:rPr>
              <w:t xml:space="preserve">), zastosowanie standardów dostępności jest obowiązkowe, o ile pozwalają na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to warunki techniczne i zakres prowadzonej modernizacji.</w:t>
            </w:r>
          </w:p>
          <w:p w14:paraId="67E14317" w14:textId="77777777" w:rsidR="00084BB3" w:rsidRPr="001B4B8C" w:rsidRDefault="00084BB3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 przypadku projektów, w których występował będzie produkt neutralny pod względem zasady równości szans i niedyskryminacji, zasada niedyskryminacji zostanie zapewniona na poziomie zarządzania projektem i dostępności cyfrowej dokumentacji projektowej publikowanej na stronach zgodnych z WCAG 2.1, nawet w przypadku braku kwalifikowalności takich wydatków w projekcie.</w:t>
            </w:r>
          </w:p>
          <w:p w14:paraId="47D7BE9E" w14:textId="77777777" w:rsidR="00084BB3" w:rsidRPr="001B4B8C" w:rsidRDefault="00084BB3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W przypadku negatywnego lub neutralnego wpływu projektu na realizację zasady równości szans i niedyskryminacji, w tym dostępności dla osób z niepełnosprawnościami,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kryterium zostanie uznane za niespełnione.</w:t>
            </w:r>
          </w:p>
          <w:p w14:paraId="379F2251" w14:textId="49D576FD" w:rsidR="00A000A2" w:rsidRPr="001B4B8C" w:rsidRDefault="00084BB3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zostanie zweryfikowane na podstawie zapisów we wniosku o dofinansowanie projektu, zwłaszcza zapisów z części  dot. realizacji zasad horyzontalnych.</w:t>
            </w:r>
            <w:r w:rsidRPr="001B4B8C" w:rsidDel="004D29F5">
              <w:rPr>
                <w:rFonts w:cstheme="minorHAnsi"/>
                <w:sz w:val="24"/>
                <w:szCs w:val="24"/>
              </w:rPr>
              <w:t xml:space="preserve"> </w:t>
            </w:r>
            <w:r w:rsidR="00A000A2" w:rsidRPr="001B4B8C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74" w:type="dxa"/>
          </w:tcPr>
          <w:p w14:paraId="6EF44222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2B9A01D9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7" w:type="dxa"/>
          </w:tcPr>
          <w:p w14:paraId="4E45A019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735" w:type="dxa"/>
          </w:tcPr>
          <w:p w14:paraId="601BB6BF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A000A2" w:rsidRPr="001B4B8C" w14:paraId="566D2420" w14:textId="77777777" w:rsidTr="00F42AD2">
        <w:tc>
          <w:tcPr>
            <w:tcW w:w="639" w:type="dxa"/>
          </w:tcPr>
          <w:p w14:paraId="5938FB57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18" w:type="dxa"/>
          </w:tcPr>
          <w:p w14:paraId="7A0F2253" w14:textId="388797DC" w:rsidR="00A000A2" w:rsidRPr="001B4B8C" w:rsidRDefault="00DE2650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Zgodność projektu z zasadą równości kobiet i mężczyzn</w:t>
            </w:r>
          </w:p>
        </w:tc>
        <w:tc>
          <w:tcPr>
            <w:tcW w:w="4028" w:type="dxa"/>
            <w:vAlign w:val="center"/>
          </w:tcPr>
          <w:p w14:paraId="728C542C" w14:textId="77777777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Przez zgodność z zasadą równości kobiet i mężczyzn należy rozumieć pozytywny lub neutralny wpływ projektu na  realizację  tej  zasady. </w:t>
            </w:r>
          </w:p>
          <w:p w14:paraId="0C861FF0" w14:textId="77777777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Pozytywny wpływ to z jednej strony zaplanowanie takich działań w projekcie, które wpłyną na wyrównywanie szans danej płci będącej w gorszym położeniu (o ile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takie nierówności zostały zdiagnozowane w projekcie). Z drugiej strony zaś stworzenie takich mechanizmów, aby na żadnym etapie wdrażania projektu nie dochodziło do dyskryminacji i wykluczenia ze względu na płeć.</w:t>
            </w:r>
          </w:p>
          <w:p w14:paraId="1083E8B9" w14:textId="77777777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Neutralność projektu w stosunku do realizacji zasady równości kobiet i mężczyzn  dopuszczalna jest tylko w sytuacji, kiedy w ramach projektu Wnioskodawca wskaże szczegółowe uzasadnienie, dlaczego dany projekt nie jest w stanie zrealizować jakichkolwiek działań wpływających na spełnienie ww. zasady, a uzasadnienie to zostanie uznane przez  instytucję oceniającą projekt  za adekwatne i wystarczające. </w:t>
            </w:r>
          </w:p>
          <w:p w14:paraId="2F83ACF7" w14:textId="77777777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W przypadku negatywnego wpływu na realizację zasady równości kobiet i mężczyzn kryterium zostanie uznane za niespełnione.</w:t>
            </w:r>
          </w:p>
          <w:p w14:paraId="3F57C40A" w14:textId="1BD6D698" w:rsidR="00A000A2" w:rsidRPr="001B4B8C" w:rsidRDefault="003137E0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Kryterium zostanie zweryfikowane na podstawie zapisów we wniosku o dofinansowanie projektu, zwłaszcza zapisów z części  dot. realizacji zasad horyzontalnych.</w:t>
            </w:r>
            <w:r w:rsidRPr="001B4B8C" w:rsidDel="004D29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A000A2" w:rsidRPr="001B4B8C">
              <w:rPr>
                <w:rFonts w:cstheme="minorHAnsi"/>
                <w:sz w:val="24"/>
                <w:szCs w:val="24"/>
              </w:rPr>
              <w:t>Kryterium obowiązuje od momentu aplikowania przez cały okres realizacji projektu</w:t>
            </w:r>
          </w:p>
        </w:tc>
        <w:tc>
          <w:tcPr>
            <w:tcW w:w="2174" w:type="dxa"/>
          </w:tcPr>
          <w:p w14:paraId="25088C6D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877" w:type="dxa"/>
          </w:tcPr>
          <w:p w14:paraId="53FFEE70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735" w:type="dxa"/>
          </w:tcPr>
          <w:p w14:paraId="1C6B2B69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A000A2" w:rsidRPr="001B4B8C" w14:paraId="50E3EF72" w14:textId="77777777" w:rsidTr="00F42AD2">
        <w:tc>
          <w:tcPr>
            <w:tcW w:w="639" w:type="dxa"/>
          </w:tcPr>
          <w:p w14:paraId="340FB651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18" w:type="dxa"/>
          </w:tcPr>
          <w:p w14:paraId="59D22155" w14:textId="353B1315" w:rsidR="00A000A2" w:rsidRPr="001B4B8C" w:rsidRDefault="00DE2650" w:rsidP="007B7928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Zgodność projektu z Kartą Praw Podstawowych Unii Europejskiej z dnia 26 października 2012 r. (Dz. Urz. UE C 326 z 26.10.2012, str. 391), w zakresie odnoszącym się do sposobu realizacji, zakresu projektu i Wnioskodawcy.    </w:t>
            </w:r>
          </w:p>
        </w:tc>
        <w:tc>
          <w:tcPr>
            <w:tcW w:w="4028" w:type="dxa"/>
            <w:vAlign w:val="center"/>
          </w:tcPr>
          <w:p w14:paraId="6632B1B6" w14:textId="77777777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Przez zgodność projektu z Kartą Praw Podstawowych Unii Europejskiej z dnia 26 października 2012 r., na etapie oceny wniosku należy rozumieć brak sprzeczności pomiędzy zapisami projektu a wymogami tego dokumentu.</w:t>
            </w:r>
          </w:p>
          <w:p w14:paraId="2B95CE1A" w14:textId="77777777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Żaden aspekt projektu, jego zakres oraz sposób jego realizacji nie może naruszać zapisów Karty.</w:t>
            </w:r>
          </w:p>
          <w:p w14:paraId="2D108819" w14:textId="77777777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Wsparcie polityki spójności będzie udzielane wyłącznie projektom i beneficjentom, którzy przestrzegają przepisów antydyskryminacyjnych, o których mowa w art. 9 ust. 3 Rozporządzenia PE i Rady nr 2021/1060. Wymagane będzie wskazanie przez wnioskodawcę deklaracji we wniosku o dofinansowanie (oraz przedłożenie oświadczenia na etapie podpisywania umowy o dofinansowanie), że również do tej pory nie podjął jakichkolwiek działań dyskryminujących / uchwał, sprzecznych z zasadami, o których mowa w art. 9 ust. 3 rozporządzenia nr 2021/1060, nie opublikowane zostały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wyroki sądu ani wyniki kontroli świadczące o prowadzeniu takich działań, nie rozpatrzono pozytywnie skarg na wnioskodawcę w związku z prowadzeniem działań dyskryminujących oraz nie podano do publicznej wiadomości niezgodności działań wnioskodawcy z zasadami niedyskryminacji. Dotyczy to wszystkich wnioskodawców, w szczególności JST, a w przypadku gdy wnioskodawcą jest podmiot kontrolowany przez JST lub od niej zależny, wymóg dotyczy również tej JST. W przeciwnym razie wsparcie w ramach polityki spójności nie może być udzielone</w:t>
            </w:r>
          </w:p>
          <w:p w14:paraId="6205224F" w14:textId="6487C7CB" w:rsidR="00A000A2" w:rsidRPr="001B4B8C" w:rsidRDefault="003137E0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Dla wnioskodawców i oceniających mogą być pomocne Wytyczne Komisji Europejskiej dotyczące zapewnienia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poszanowania Karty praw podstawowych Unii Europejskiej przy wdrażaniu europejskich funduszy strukturalnych i inwestycyjnych, w szczególności załącznik nr III.</w:t>
            </w:r>
            <w:r w:rsidRPr="001B4B8C" w:rsidDel="00AD4D4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6E3046" w:rsidRPr="001B4B8C">
              <w:rPr>
                <w:rFonts w:cstheme="minorHAnsi"/>
                <w:color w:val="000000"/>
                <w:sz w:val="24"/>
                <w:szCs w:val="24"/>
              </w:rPr>
              <w:t>Kryterium zostanie zweryfikowane na podstawie zapisów we wniosku o dofinansowanie projektu, pod kątem zgodności z prawami i wolnościami określonymi w Karcie Praw Podstawowych, zwłaszcza zapisów z części  dot. realizacji zasad horyzontalnych.</w:t>
            </w:r>
            <w:r w:rsidR="006E3046" w:rsidRPr="001B4B8C" w:rsidDel="003137E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AD4D4C" w:rsidRPr="001B4B8C">
              <w:rPr>
                <w:rFonts w:cstheme="minorHAnsi"/>
                <w:color w:val="000000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74" w:type="dxa"/>
          </w:tcPr>
          <w:p w14:paraId="7A021E8B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877" w:type="dxa"/>
          </w:tcPr>
          <w:p w14:paraId="3E5AAABD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735" w:type="dxa"/>
          </w:tcPr>
          <w:p w14:paraId="3754F265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A000A2" w:rsidRPr="001B4B8C" w14:paraId="3F4AB1A8" w14:textId="77777777" w:rsidTr="00F42AD2">
        <w:tc>
          <w:tcPr>
            <w:tcW w:w="639" w:type="dxa"/>
          </w:tcPr>
          <w:p w14:paraId="5365D1B0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18" w:type="dxa"/>
          </w:tcPr>
          <w:p w14:paraId="042A2EA6" w14:textId="16E57A44" w:rsidR="00A000A2" w:rsidRPr="001B4B8C" w:rsidRDefault="00DE2650" w:rsidP="007B7928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Zgodność projektu z Konwencją o Prawach Osób Niepełnosprawnych, sporządzoną w Nowym Jorku dnia 13 grudnia 2006 r. (Dz. U. z 2012 r. poz.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 xml:space="preserve">1169, z </w:t>
            </w:r>
            <w:proofErr w:type="spellStart"/>
            <w:r w:rsidRPr="001B4B8C">
              <w:rPr>
                <w:rFonts w:cstheme="minorHAnsi"/>
                <w:sz w:val="24"/>
                <w:szCs w:val="24"/>
              </w:rPr>
              <w:t>późn</w:t>
            </w:r>
            <w:proofErr w:type="spellEnd"/>
            <w:r w:rsidRPr="001B4B8C">
              <w:rPr>
                <w:rFonts w:cstheme="minorHAnsi"/>
                <w:sz w:val="24"/>
                <w:szCs w:val="24"/>
              </w:rPr>
              <w:t>. zm.), w zakresie odnoszącym się do sposobu realizacji, zakresu projektu i wnioskodawcy.</w:t>
            </w:r>
          </w:p>
        </w:tc>
        <w:tc>
          <w:tcPr>
            <w:tcW w:w="4028" w:type="dxa"/>
            <w:vAlign w:val="center"/>
          </w:tcPr>
          <w:p w14:paraId="23904E4C" w14:textId="234531FE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Zgodność projektu z Konwencją o Prawach Osób Niepełnosprawnych, na etapie oceny wniosku należy rozumieć jako brak sprzeczności pomiędzy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zapisami projektu a wymogami tego dokumentu.</w:t>
            </w:r>
          </w:p>
          <w:p w14:paraId="7D9D5AC6" w14:textId="2C2E2E18" w:rsidR="00AD4D4C" w:rsidRPr="001B4B8C" w:rsidRDefault="003137E0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Kryterium zostanie zweryfikowane na podstawie zapisów we wniosku o dofinansowanie projektu, zwłaszcza zapisów z części  dot. realizacji zasad horyzontalnych.</w:t>
            </w:r>
            <w:r w:rsidR="00F22631" w:rsidRPr="001B4B8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AD4D4C" w:rsidRPr="001B4B8C">
              <w:rPr>
                <w:rFonts w:cstheme="minorHAnsi"/>
                <w:color w:val="000000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74" w:type="dxa"/>
          </w:tcPr>
          <w:p w14:paraId="18B05DE9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877" w:type="dxa"/>
          </w:tcPr>
          <w:p w14:paraId="410F7069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735" w:type="dxa"/>
          </w:tcPr>
          <w:p w14:paraId="085851E7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A000A2" w:rsidRPr="001B4B8C" w14:paraId="514C84A1" w14:textId="77777777" w:rsidTr="001F7B35">
        <w:trPr>
          <w:trHeight w:val="8631"/>
        </w:trPr>
        <w:tc>
          <w:tcPr>
            <w:tcW w:w="639" w:type="dxa"/>
          </w:tcPr>
          <w:p w14:paraId="2F8E505A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18" w:type="dxa"/>
          </w:tcPr>
          <w:p w14:paraId="01AD49C4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>Zgodność projektu z politykami środowiskowymi</w:t>
            </w:r>
          </w:p>
        </w:tc>
        <w:tc>
          <w:tcPr>
            <w:tcW w:w="4028" w:type="dxa"/>
            <w:vAlign w:val="center"/>
          </w:tcPr>
          <w:p w14:paraId="6FF3991A" w14:textId="77777777" w:rsidR="00A000A2" w:rsidRPr="001B4B8C" w:rsidRDefault="00A000A2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Weryfikacji podlega:</w:t>
            </w:r>
          </w:p>
          <w:p w14:paraId="6F455D6D" w14:textId="77777777" w:rsidR="00A000A2" w:rsidRPr="001B4B8C" w:rsidRDefault="00A000A2" w:rsidP="007B7928">
            <w:pPr>
              <w:pStyle w:val="Akapitzlist"/>
              <w:numPr>
                <w:ilvl w:val="0"/>
                <w:numId w:val="18"/>
              </w:numPr>
              <w:spacing w:before="240" w:after="0"/>
              <w:contextualSpacing w:val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zgodność projektu z zasadą zrównoważonego rozwoju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531E0D6A" w14:textId="77777777" w:rsidR="00A000A2" w:rsidRPr="001B4B8C" w:rsidRDefault="00A000A2" w:rsidP="007B7928">
            <w:pPr>
              <w:pStyle w:val="Akapitzlist"/>
              <w:numPr>
                <w:ilvl w:val="0"/>
                <w:numId w:val="18"/>
              </w:numPr>
              <w:spacing w:before="240" w:after="0"/>
              <w:contextualSpacing w:val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zgodność projektu z Europejskim Zielonym Ładem</w:t>
            </w:r>
          </w:p>
          <w:p w14:paraId="42F58E39" w14:textId="77777777" w:rsidR="00A000A2" w:rsidRPr="001B4B8C" w:rsidRDefault="00A000A2" w:rsidP="007B7928">
            <w:pPr>
              <w:pStyle w:val="Akapitzlist"/>
              <w:numPr>
                <w:ilvl w:val="0"/>
                <w:numId w:val="18"/>
              </w:numPr>
              <w:spacing w:before="240" w:after="0"/>
              <w:contextualSpacing w:val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zgodność projektu z zasadą „nie czyń poważnych szkód" </w:t>
            </w:r>
          </w:p>
          <w:p w14:paraId="6DE8B873" w14:textId="61C16BF9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Przez </w:t>
            </w:r>
            <w:r w:rsidRPr="001B4B8C">
              <w:rPr>
                <w:rFonts w:cstheme="minorHAnsi"/>
                <w:b/>
                <w:bCs/>
                <w:sz w:val="24"/>
                <w:szCs w:val="24"/>
              </w:rPr>
              <w:t>zrównoważony rozwój</w:t>
            </w:r>
            <w:r w:rsidRPr="001B4B8C">
              <w:rPr>
                <w:rFonts w:cstheme="minorHAnsi"/>
                <w:sz w:val="24"/>
                <w:szCs w:val="24"/>
              </w:rPr>
              <w:t xml:space="preserve"> rozumie się możliwość zaspokojenia potrzeb rozwojowych obecnej generacji bez naruszania zdolności do zaspokajania potrzeb rozwojowych przyszłych pokoleń. Stosowanie zasady zrównoważonego rozwoju oznacza, że dążenie do rozwoju społeczno-gospodarczego nie odbywa się kosztem naruszenia równowagi w przyrodzie, a dodatkowo sprzyja przetrwaniu jej zasobów.</w:t>
            </w:r>
          </w:p>
          <w:p w14:paraId="13F911A9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Działania projektowe będą odbywały się w sposób ekologiczny, czy też zgodnie z zasadami ochrony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środowiska. Np. materiały promocyjne zostaną udostępnione elektronicznie lub wydrukowane zostaną na papierze z recyklingu, odpady będą segregowane, użytkowane będzie energooszczędne oświetlenie itp. Zespół projektu również będzie się kierował w swoich działaniach zgodnie z zasadami zrównoważonego rozwoju, poprzez korzystanie z energooszczędnego oświetlenia, ograniczenie zużycia papieru, zdalną  formę współpracy przy projekcie (jeżeli będzie to możliwe). Proces zarządzania projektem również będzie się odbywał w ww. sposób np. poprzez ograniczenie zużycia papieru, zdalną formę współpracy ograniczającą ślad węglowy, stosowanie zielonych klauzul w zamówieniach, korzystanie z energooszczędnych rozwiązań, promocję działań i postaw proekologicznych itp.</w:t>
            </w:r>
          </w:p>
          <w:p w14:paraId="552739DD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b/>
                <w:bCs/>
                <w:sz w:val="24"/>
                <w:szCs w:val="24"/>
              </w:rPr>
              <w:t>Europejski Zielony Ład</w:t>
            </w:r>
            <w:r w:rsidRPr="001B4B8C">
              <w:rPr>
                <w:rFonts w:cstheme="minorHAnsi"/>
                <w:sz w:val="24"/>
                <w:szCs w:val="24"/>
              </w:rPr>
              <w:t xml:space="preserve"> (EZŁ, ang. </w:t>
            </w:r>
            <w:proofErr w:type="spellStart"/>
            <w:r w:rsidRPr="001B4B8C">
              <w:rPr>
                <w:rFonts w:cstheme="minorHAnsi"/>
                <w:sz w:val="24"/>
                <w:szCs w:val="24"/>
              </w:rPr>
              <w:t>European</w:t>
            </w:r>
            <w:proofErr w:type="spellEnd"/>
            <w:r w:rsidRPr="001B4B8C">
              <w:rPr>
                <w:rFonts w:cstheme="minorHAnsi"/>
                <w:sz w:val="24"/>
                <w:szCs w:val="24"/>
              </w:rPr>
              <w:t xml:space="preserve"> Green Deal) to strategia rozwoju, która ma przekształcić Unię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Europejską w obszar neutralny klimatycznie.</w:t>
            </w:r>
          </w:p>
          <w:p w14:paraId="5CE3B956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 ramach Europejskiego Zielonego Ładu jest realizowana Europejska strategia przemysłowa.</w:t>
            </w:r>
          </w:p>
          <w:p w14:paraId="274A013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Nowa strategia przemysłowa ma gwarantować, że pomimo transformacji, europejskie przedsiębiorstwa nadal będą realizować swoje ambicje i konkurować na poziomie międzynarodowym. Strategia opiera się na 3 postulatach:</w:t>
            </w:r>
          </w:p>
          <w:p w14:paraId="5D1D872D" w14:textId="77777777" w:rsidR="00A000A2" w:rsidRPr="001B4B8C" w:rsidRDefault="00A000A2" w:rsidP="00DB40A1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bardziej zielonym przemyśle;</w:t>
            </w:r>
          </w:p>
          <w:p w14:paraId="50D7AE46" w14:textId="77777777" w:rsidR="00A000A2" w:rsidRPr="001B4B8C" w:rsidRDefault="00A000A2" w:rsidP="00DB40A1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wzmocnieniu cyfrowym przemysłu;</w:t>
            </w:r>
          </w:p>
          <w:p w14:paraId="74235560" w14:textId="4824E62D" w:rsidR="00A000A2" w:rsidRPr="001B4B8C" w:rsidRDefault="00A000A2" w:rsidP="00DB40A1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przemyśle opartym na obiegu zamkniętym</w:t>
            </w:r>
          </w:p>
          <w:p w14:paraId="0A8F49A0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Zasada </w:t>
            </w:r>
            <w:r w:rsidRPr="001B4B8C">
              <w:rPr>
                <w:rFonts w:cstheme="minorHAnsi"/>
                <w:b/>
                <w:bCs/>
                <w:sz w:val="24"/>
                <w:szCs w:val="24"/>
              </w:rPr>
              <w:t xml:space="preserve">„nie czyń poważnych szkód" </w:t>
            </w:r>
            <w:r w:rsidRPr="001B4B8C">
              <w:rPr>
                <w:rFonts w:cstheme="minorHAnsi"/>
                <w:sz w:val="24"/>
                <w:szCs w:val="24"/>
              </w:rPr>
              <w:t xml:space="preserve">(DNSH, ang. Do No </w:t>
            </w:r>
            <w:proofErr w:type="spellStart"/>
            <w:r w:rsidRPr="001B4B8C">
              <w:rPr>
                <w:rFonts w:cstheme="minorHAnsi"/>
                <w:sz w:val="24"/>
                <w:szCs w:val="24"/>
              </w:rPr>
              <w:t>Significant</w:t>
            </w:r>
            <w:proofErr w:type="spellEnd"/>
            <w:r w:rsidRPr="001B4B8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B4B8C">
              <w:rPr>
                <w:rFonts w:cstheme="minorHAnsi"/>
                <w:sz w:val="24"/>
                <w:szCs w:val="24"/>
              </w:rPr>
              <w:t>Harm</w:t>
            </w:r>
            <w:proofErr w:type="spellEnd"/>
            <w:r w:rsidRPr="001B4B8C">
              <w:rPr>
                <w:rFonts w:cstheme="minorHAnsi"/>
                <w:sz w:val="24"/>
                <w:szCs w:val="24"/>
              </w:rPr>
              <w:t>) ma być stosowana w projektach powszechnie, przekrojowo, w możliwie szerokim zakresie.</w:t>
            </w:r>
          </w:p>
          <w:p w14:paraId="36083B71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Zgodnie z normami prawnymi Polityki Spójności, Funduszu na rzecz Sprawiedliwej Transformacji, Europejskiego Funduszu Rozwoju Regionalnego i Funduszu Spójności powinny wspierać działania, które są zgodne ze standardami i priorytetami Unii w zakresie klimatu i środowiska oraz nie powodują poważnych szkód dla celów środowiskowych w rozumieniu art. 17 rozporządzenia Parlamentu Europejskiego i Rady (UE) nr 2020/852 w sprawie ustanowienia ram ułatwiających zrównoważone inwestycje, zmieniającego rozporządzenie (UE) 2019/2088 (UE) (tzw. taksonomia).</w:t>
            </w:r>
          </w:p>
          <w:p w14:paraId="74DD405B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Wykazanie zgodności z zasadą DNSH możliwe jest przez różnorodne środki, dobrane odpowiednio do specyfiki i zakresu rzeczowego projektu. Przestrzeganie zasady DNSH obowiązuje na wszystkich etapach wdrażania Programu, czyli dotyczy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przygotowania projektów, ich oceny, realizacji czy rozliczania.</w:t>
            </w:r>
          </w:p>
          <w:p w14:paraId="66FAC8E2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We wszystkich projektach w ramach tego celu szczegółowego, w których będzie to zasadne i możliwe zostaną zastosowane rozwiązania w zakresie obiegu cyrkularnego (w tym efektywności energetycznej i użycia energii ze źródeł odnawialnych) jak również elementy sprzyjające adaptacji do zmian klimatu (w szczególności zielona i niebieska infrastruktura).</w:t>
            </w:r>
          </w:p>
          <w:p w14:paraId="6AD5EB1E" w14:textId="233872DC" w:rsidR="003137E0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 przypadku, gdy projekt jest niezgodny przynajmniej z jedną ww. zasadą kryterium uznaje się za niespełnione.</w:t>
            </w:r>
            <w:r w:rsidR="004D434A">
              <w:rPr>
                <w:rFonts w:cstheme="minorHAnsi"/>
                <w:sz w:val="24"/>
                <w:szCs w:val="24"/>
              </w:rPr>
              <w:t xml:space="preserve"> </w:t>
            </w:r>
            <w:r w:rsidR="003137E0" w:rsidRPr="001B4B8C">
              <w:rPr>
                <w:rFonts w:cstheme="minorHAnsi"/>
                <w:sz w:val="24"/>
                <w:szCs w:val="24"/>
              </w:rPr>
              <w:t xml:space="preserve">We wszystkich projektach w ramach tego celu szczegółowego, w których będzie to zasadne i możliwe zostaną zastosowane rozwiązania w zakresie obiegu cyrkularnego (w tym efektywności energetycznej i użycia energii ze źródeł odnawialnych) jak również elementy sprzyjające </w:t>
            </w:r>
            <w:r w:rsidR="003137E0" w:rsidRPr="001B4B8C">
              <w:rPr>
                <w:rFonts w:cstheme="minorHAnsi"/>
                <w:sz w:val="24"/>
                <w:szCs w:val="24"/>
              </w:rPr>
              <w:lastRenderedPageBreak/>
              <w:t>adaptacji do zmian klimatu (w szczególności zielona i niebieska infrastruktura).</w:t>
            </w:r>
          </w:p>
          <w:p w14:paraId="2BA9BDF6" w14:textId="77777777" w:rsidR="003137E0" w:rsidRPr="001B4B8C" w:rsidRDefault="003137E0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Należy zwrócić uwagę, żeby modernizacje, budowy budynków były przeprowadzane zgodnie z Dyrektywą dotyczącą charakterystyki energetycznej budynków (Dyrektywa 2018/844/UE).</w:t>
            </w:r>
          </w:p>
          <w:p w14:paraId="29E94BAD" w14:textId="77777777" w:rsidR="003137E0" w:rsidRPr="001B4B8C" w:rsidRDefault="003137E0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 projektach, w których mają zastosowanie standardy ochrony drzew, należy szczególnie zadbać o zachowanie i rozwój zielonej infrastruktury, zwłaszcza ochronę drzew w całym cyklu projektowym, w tym poprzez stosowanie standardów ochrony zieleni. Mając na uwadze potrzebę adaptacji obszarów miejskich do zmiany klimatu, należy dążyć również do zwiększania powierzchni biologicznie czynnych i unikanie tworzenia powierzchni uszczelnionych.</w:t>
            </w:r>
          </w:p>
          <w:p w14:paraId="7609065C" w14:textId="77777777" w:rsidR="003137E0" w:rsidRPr="001B4B8C" w:rsidRDefault="003137E0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Jeżeli zastosowanie standardów nie jest możliwe ze względu na stopień zaawansowania realizacji projektu  -  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należy opisać jakie rozwiązania w zakresie ochrony drzew i zieleni zastosowano lub planuje się do zastosowania adekwatnie do zakresu i etapu realizacji projektu.</w:t>
            </w:r>
          </w:p>
          <w:p w14:paraId="5C9BFBB6" w14:textId="1DF889A3" w:rsidR="00A000A2" w:rsidRPr="001B4B8C" w:rsidRDefault="003137E0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Jeżeli realizacja projektu infrastrukturalnego nie oddziałuje na drzewa (np. inwestycje punktowe, obiektowe, termomodernizacja), odpowiednie uzasadnienie należy przedstawić. Kryterium zostanie zweryfikowane na podstawie zapisów we wniosku o dofinansowanie projektu, zwłaszcza zapisów z części  dot. realizacji zasad horyzontalnych.</w:t>
            </w:r>
          </w:p>
          <w:p w14:paraId="67146655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174" w:type="dxa"/>
          </w:tcPr>
          <w:p w14:paraId="14A6B654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5AAD7A1F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7" w:type="dxa"/>
          </w:tcPr>
          <w:p w14:paraId="4C32EDA6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735" w:type="dxa"/>
          </w:tcPr>
          <w:p w14:paraId="58D3D2D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</w:tbl>
    <w:p w14:paraId="24B6513A" w14:textId="7BDCBA77" w:rsidR="005B646C" w:rsidRPr="005B646C" w:rsidRDefault="005B646C" w:rsidP="004D434A">
      <w:pPr>
        <w:tabs>
          <w:tab w:val="left" w:pos="11745"/>
        </w:tabs>
        <w:rPr>
          <w:rFonts w:asciiTheme="minorHAnsi" w:hAnsiTheme="minorHAnsi" w:cstheme="minorHAnsi"/>
          <w:sz w:val="24"/>
          <w:szCs w:val="24"/>
        </w:rPr>
      </w:pPr>
    </w:p>
    <w:sectPr w:rsidR="005B646C" w:rsidRPr="005B646C" w:rsidSect="004D434A">
      <w:footerReference w:type="default" r:id="rId12"/>
      <w:footerReference w:type="first" r:id="rId13"/>
      <w:pgSz w:w="16838" w:h="11906" w:orient="landscape"/>
      <w:pgMar w:top="130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42B3" w14:textId="77777777" w:rsidR="00BC7585" w:rsidRDefault="00BC7585" w:rsidP="009029B5">
      <w:pPr>
        <w:spacing w:after="0" w:line="240" w:lineRule="auto"/>
      </w:pPr>
      <w:r>
        <w:separator/>
      </w:r>
    </w:p>
  </w:endnote>
  <w:endnote w:type="continuationSeparator" w:id="0">
    <w:p w14:paraId="6086BD99" w14:textId="77777777" w:rsidR="00BC7585" w:rsidRDefault="00BC7585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F032" w14:textId="77777777" w:rsidR="00374965" w:rsidRDefault="004D434A">
    <w:pPr>
      <w:pStyle w:val="Stopka"/>
    </w:pPr>
  </w:p>
  <w:p w14:paraId="727658CC" w14:textId="19917EC5" w:rsidR="00374965" w:rsidRDefault="004D434A" w:rsidP="0087775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A5BE" w14:textId="41672944" w:rsidR="004D434A" w:rsidRDefault="004D434A" w:rsidP="004D434A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DA6EDBF" wp14:editId="22AE646D">
          <wp:extent cx="5755005" cy="420370"/>
          <wp:effectExtent l="0" t="0" r="0" b="0"/>
          <wp:docPr id="1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5869" w14:textId="77777777" w:rsidR="00BC7585" w:rsidRDefault="00BC7585" w:rsidP="009029B5">
      <w:pPr>
        <w:spacing w:after="0" w:line="240" w:lineRule="auto"/>
      </w:pPr>
      <w:r>
        <w:separator/>
      </w:r>
    </w:p>
  </w:footnote>
  <w:footnote w:type="continuationSeparator" w:id="0">
    <w:p w14:paraId="11D0E1E1" w14:textId="77777777" w:rsidR="00BC7585" w:rsidRDefault="00BC7585" w:rsidP="009029B5">
      <w:pPr>
        <w:spacing w:after="0" w:line="240" w:lineRule="auto"/>
      </w:pPr>
      <w:r>
        <w:continuationSeparator/>
      </w:r>
    </w:p>
  </w:footnote>
  <w:footnote w:id="1">
    <w:p w14:paraId="35F6B63E" w14:textId="77777777" w:rsidR="00A000A2" w:rsidRPr="004A5FF2" w:rsidRDefault="00A000A2" w:rsidP="00A000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4965">
        <w:rPr>
          <w:rFonts w:ascii="Arial" w:hAnsi="Arial" w:cs="Arial"/>
        </w:rPr>
        <w:t>Status określany jest w oparciu o definicję zawartą w załączniku nr I do Rozporządzenia 651/2014.</w:t>
      </w:r>
    </w:p>
  </w:footnote>
  <w:footnote w:id="2">
    <w:p w14:paraId="300E4C26" w14:textId="7B07A9E6" w:rsidR="00373B85" w:rsidRPr="007B7928" w:rsidRDefault="00373B85">
      <w:pPr>
        <w:pStyle w:val="Tekstprzypisudolnego"/>
        <w:rPr>
          <w:rFonts w:ascii="Arial" w:hAnsi="Arial" w:cs="Arial"/>
        </w:rPr>
      </w:pPr>
      <w:r w:rsidRPr="007B7928">
        <w:rPr>
          <w:rStyle w:val="Odwoanieprzypisudolnego"/>
          <w:rFonts w:ascii="Arial" w:hAnsi="Arial" w:cs="Arial"/>
        </w:rPr>
        <w:footnoteRef/>
      </w:r>
      <w:r w:rsidRPr="007B7928">
        <w:rPr>
          <w:rFonts w:ascii="Arial" w:hAnsi="Arial" w:cs="Arial"/>
        </w:rPr>
        <w:t xml:space="preserve"> W przypadku modernizacji dostępność dotyczy tych elementów budynku, które są przedmiotem finansowania z funduszy unijnych</w:t>
      </w:r>
    </w:p>
  </w:footnote>
  <w:footnote w:id="3">
    <w:p w14:paraId="3534C883" w14:textId="7E0A5505" w:rsidR="00373B85" w:rsidRPr="007B7928" w:rsidRDefault="00373B85">
      <w:pPr>
        <w:pStyle w:val="Tekstprzypisudolnego"/>
        <w:rPr>
          <w:rFonts w:ascii="Arial" w:hAnsi="Arial" w:cs="Arial"/>
        </w:rPr>
      </w:pPr>
      <w:r w:rsidRPr="007B7928">
        <w:rPr>
          <w:rStyle w:val="Odwoanieprzypisudolnego"/>
          <w:rFonts w:ascii="Arial" w:hAnsi="Arial" w:cs="Arial"/>
        </w:rPr>
        <w:footnoteRef/>
      </w:r>
      <w:r w:rsidRPr="007B7928">
        <w:rPr>
          <w:rFonts w:ascii="Arial" w:hAnsi="Arial" w:cs="Arial"/>
        </w:rPr>
        <w:t xml:space="preserve"> Przebudowa to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kondygnacji.</w:t>
      </w:r>
    </w:p>
  </w:footnote>
  <w:footnote w:id="4">
    <w:p w14:paraId="54657A52" w14:textId="3B6CC4D3" w:rsidR="00373B85" w:rsidRDefault="00373B85">
      <w:pPr>
        <w:pStyle w:val="Tekstprzypisudolnego"/>
      </w:pPr>
      <w:r w:rsidRPr="007B7928">
        <w:rPr>
          <w:rStyle w:val="Odwoanieprzypisudolnego"/>
          <w:rFonts w:ascii="Arial" w:hAnsi="Arial" w:cs="Arial"/>
        </w:rPr>
        <w:footnoteRef/>
      </w:r>
      <w:r w:rsidRPr="007B7928">
        <w:rPr>
          <w:rFonts w:ascii="Arial" w:hAnsi="Arial" w:cs="Arial"/>
        </w:rPr>
        <w:t xml:space="preserve"> Rozbudowa to powiększenie, rozszerzenie budowli, obszaru już zabudowanego, dobudowywanie nowych elementów.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764D"/>
    <w:multiLevelType w:val="hybridMultilevel"/>
    <w:tmpl w:val="5674F0CC"/>
    <w:lvl w:ilvl="0" w:tplc="316686BC">
      <w:start w:val="1"/>
      <w:numFmt w:val="decimal"/>
      <w:lvlText w:val="%1."/>
      <w:lvlJc w:val="left"/>
      <w:pPr>
        <w:ind w:left="2061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105A34"/>
    <w:multiLevelType w:val="hybridMultilevel"/>
    <w:tmpl w:val="A754E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0030D"/>
    <w:multiLevelType w:val="hybridMultilevel"/>
    <w:tmpl w:val="48BCD276"/>
    <w:lvl w:ilvl="0" w:tplc="96A0ED88">
      <w:start w:val="1"/>
      <w:numFmt w:val="lowerLetter"/>
      <w:lvlText w:val="%1)"/>
      <w:lvlJc w:val="left"/>
      <w:pPr>
        <w:ind w:left="2484" w:hanging="360"/>
      </w:pPr>
      <w:rPr>
        <w:rFonts w:asciiTheme="minorHAnsi" w:eastAsia="Calibr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3" w15:restartNumberingAfterBreak="0">
    <w:nsid w:val="1CCF5D49"/>
    <w:multiLevelType w:val="hybridMultilevel"/>
    <w:tmpl w:val="90D0DE1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838C7"/>
    <w:multiLevelType w:val="hybridMultilevel"/>
    <w:tmpl w:val="A0E85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42CB8"/>
    <w:multiLevelType w:val="hybridMultilevel"/>
    <w:tmpl w:val="B0F41AB4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6" w15:restartNumberingAfterBreak="0">
    <w:nsid w:val="2A070BAE"/>
    <w:multiLevelType w:val="hybridMultilevel"/>
    <w:tmpl w:val="45D69380"/>
    <w:lvl w:ilvl="0" w:tplc="FBDCAA12">
      <w:start w:val="1"/>
      <w:numFmt w:val="lowerLetter"/>
      <w:lvlText w:val="%1)"/>
      <w:lvlJc w:val="left"/>
      <w:pPr>
        <w:ind w:left="2484" w:hanging="360"/>
      </w:pPr>
      <w:rPr>
        <w:rFonts w:asciiTheme="minorHAnsi" w:eastAsia="Calibr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71" w:hanging="180"/>
      </w:pPr>
      <w:rPr>
        <w:rFonts w:cs="Times New Roman"/>
      </w:rPr>
    </w:lvl>
  </w:abstractNum>
  <w:abstractNum w:abstractNumId="7" w15:restartNumberingAfterBreak="0">
    <w:nsid w:val="30835684"/>
    <w:multiLevelType w:val="hybridMultilevel"/>
    <w:tmpl w:val="E772BC10"/>
    <w:lvl w:ilvl="0" w:tplc="5EDEF8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6139"/>
    <w:multiLevelType w:val="hybridMultilevel"/>
    <w:tmpl w:val="32E28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2390F"/>
    <w:multiLevelType w:val="hybridMultilevel"/>
    <w:tmpl w:val="4FA49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E4A6B"/>
    <w:multiLevelType w:val="hybridMultilevel"/>
    <w:tmpl w:val="5A8E8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0562F"/>
    <w:multiLevelType w:val="hybridMultilevel"/>
    <w:tmpl w:val="1800225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4E1C5E7E"/>
    <w:multiLevelType w:val="hybridMultilevel"/>
    <w:tmpl w:val="6D748B64"/>
    <w:lvl w:ilvl="0" w:tplc="B914B470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D633A"/>
    <w:multiLevelType w:val="hybridMultilevel"/>
    <w:tmpl w:val="03AE6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72E6F"/>
    <w:multiLevelType w:val="hybridMultilevel"/>
    <w:tmpl w:val="258E1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52059"/>
    <w:multiLevelType w:val="hybridMultilevel"/>
    <w:tmpl w:val="7E66A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93045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66BFD"/>
    <w:multiLevelType w:val="hybridMultilevel"/>
    <w:tmpl w:val="33E8D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E73F3"/>
    <w:multiLevelType w:val="hybridMultilevel"/>
    <w:tmpl w:val="24984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587427">
    <w:abstractNumId w:val="7"/>
  </w:num>
  <w:num w:numId="2" w16cid:durableId="266813883">
    <w:abstractNumId w:val="16"/>
  </w:num>
  <w:num w:numId="3" w16cid:durableId="1434327222">
    <w:abstractNumId w:val="0"/>
  </w:num>
  <w:num w:numId="4" w16cid:durableId="1097092665">
    <w:abstractNumId w:val="6"/>
  </w:num>
  <w:num w:numId="5" w16cid:durableId="412288473">
    <w:abstractNumId w:val="2"/>
  </w:num>
  <w:num w:numId="6" w16cid:durableId="144124960">
    <w:abstractNumId w:val="3"/>
  </w:num>
  <w:num w:numId="7" w16cid:durableId="2010985527">
    <w:abstractNumId w:val="8"/>
  </w:num>
  <w:num w:numId="8" w16cid:durableId="1709446774">
    <w:abstractNumId w:val="15"/>
  </w:num>
  <w:num w:numId="9" w16cid:durableId="1869951360">
    <w:abstractNumId w:val="4"/>
  </w:num>
  <w:num w:numId="10" w16cid:durableId="980843687">
    <w:abstractNumId w:val="1"/>
  </w:num>
  <w:num w:numId="11" w16cid:durableId="1452439012">
    <w:abstractNumId w:val="10"/>
  </w:num>
  <w:num w:numId="12" w16cid:durableId="1970088813">
    <w:abstractNumId w:val="13"/>
  </w:num>
  <w:num w:numId="13" w16cid:durableId="859854988">
    <w:abstractNumId w:val="17"/>
  </w:num>
  <w:num w:numId="14" w16cid:durableId="867718038">
    <w:abstractNumId w:val="14"/>
  </w:num>
  <w:num w:numId="15" w16cid:durableId="2028172786">
    <w:abstractNumId w:val="11"/>
  </w:num>
  <w:num w:numId="16" w16cid:durableId="510487693">
    <w:abstractNumId w:val="5"/>
  </w:num>
  <w:num w:numId="17" w16cid:durableId="811630216">
    <w:abstractNumId w:val="9"/>
  </w:num>
  <w:num w:numId="18" w16cid:durableId="91441681">
    <w:abstractNumId w:val="12"/>
  </w:num>
  <w:num w:numId="19" w16cid:durableId="1041783738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B5"/>
    <w:rsid w:val="00002674"/>
    <w:rsid w:val="00006BA9"/>
    <w:rsid w:val="0001536D"/>
    <w:rsid w:val="00022CF7"/>
    <w:rsid w:val="00025C6C"/>
    <w:rsid w:val="00052FEB"/>
    <w:rsid w:val="00054F52"/>
    <w:rsid w:val="00084BB3"/>
    <w:rsid w:val="000975C4"/>
    <w:rsid w:val="00097CD1"/>
    <w:rsid w:val="000A4537"/>
    <w:rsid w:val="000B3CD6"/>
    <w:rsid w:val="000B6B8A"/>
    <w:rsid w:val="000C16E8"/>
    <w:rsid w:val="000D6DA2"/>
    <w:rsid w:val="000E3104"/>
    <w:rsid w:val="000E7E32"/>
    <w:rsid w:val="001051C4"/>
    <w:rsid w:val="00111591"/>
    <w:rsid w:val="001248B2"/>
    <w:rsid w:val="00153D3F"/>
    <w:rsid w:val="001636F5"/>
    <w:rsid w:val="001733F6"/>
    <w:rsid w:val="00174B15"/>
    <w:rsid w:val="00197F09"/>
    <w:rsid w:val="001A3C70"/>
    <w:rsid w:val="001B4B8C"/>
    <w:rsid w:val="001C6C71"/>
    <w:rsid w:val="001D4DF1"/>
    <w:rsid w:val="001E16F4"/>
    <w:rsid w:val="001F5F7A"/>
    <w:rsid w:val="001F7B35"/>
    <w:rsid w:val="00203C43"/>
    <w:rsid w:val="00217B2A"/>
    <w:rsid w:val="0023555D"/>
    <w:rsid w:val="002426B9"/>
    <w:rsid w:val="00245036"/>
    <w:rsid w:val="00251BCB"/>
    <w:rsid w:val="00264C43"/>
    <w:rsid w:val="002672DA"/>
    <w:rsid w:val="0029122B"/>
    <w:rsid w:val="002943FA"/>
    <w:rsid w:val="002A3FA9"/>
    <w:rsid w:val="002A7274"/>
    <w:rsid w:val="002B0AE7"/>
    <w:rsid w:val="002B7351"/>
    <w:rsid w:val="002E540D"/>
    <w:rsid w:val="002F08C6"/>
    <w:rsid w:val="002F453A"/>
    <w:rsid w:val="002F6FC2"/>
    <w:rsid w:val="00304028"/>
    <w:rsid w:val="0030695E"/>
    <w:rsid w:val="00306CD4"/>
    <w:rsid w:val="00307022"/>
    <w:rsid w:val="0031245C"/>
    <w:rsid w:val="003137E0"/>
    <w:rsid w:val="00314C8C"/>
    <w:rsid w:val="00323331"/>
    <w:rsid w:val="00337C98"/>
    <w:rsid w:val="00353112"/>
    <w:rsid w:val="00367A56"/>
    <w:rsid w:val="00370AD8"/>
    <w:rsid w:val="00373B85"/>
    <w:rsid w:val="0037477A"/>
    <w:rsid w:val="003765D9"/>
    <w:rsid w:val="00376A35"/>
    <w:rsid w:val="00381A46"/>
    <w:rsid w:val="00386B96"/>
    <w:rsid w:val="003902F3"/>
    <w:rsid w:val="003A484B"/>
    <w:rsid w:val="003C0F43"/>
    <w:rsid w:val="00413384"/>
    <w:rsid w:val="004201FA"/>
    <w:rsid w:val="00437684"/>
    <w:rsid w:val="004420BC"/>
    <w:rsid w:val="00445108"/>
    <w:rsid w:val="00454C80"/>
    <w:rsid w:val="00455866"/>
    <w:rsid w:val="004561D5"/>
    <w:rsid w:val="00460B24"/>
    <w:rsid w:val="00464B8E"/>
    <w:rsid w:val="00474268"/>
    <w:rsid w:val="004835C9"/>
    <w:rsid w:val="004929F9"/>
    <w:rsid w:val="00494A64"/>
    <w:rsid w:val="00497E32"/>
    <w:rsid w:val="004A7DDE"/>
    <w:rsid w:val="004B3080"/>
    <w:rsid w:val="004C3D74"/>
    <w:rsid w:val="004D29F5"/>
    <w:rsid w:val="004D434A"/>
    <w:rsid w:val="004E78D3"/>
    <w:rsid w:val="004F722F"/>
    <w:rsid w:val="00516E84"/>
    <w:rsid w:val="00522101"/>
    <w:rsid w:val="00530452"/>
    <w:rsid w:val="00533263"/>
    <w:rsid w:val="00541040"/>
    <w:rsid w:val="005465A2"/>
    <w:rsid w:val="00547E53"/>
    <w:rsid w:val="005570A7"/>
    <w:rsid w:val="00557EDC"/>
    <w:rsid w:val="005A1ED6"/>
    <w:rsid w:val="005B6314"/>
    <w:rsid w:val="005B646C"/>
    <w:rsid w:val="005C0BFF"/>
    <w:rsid w:val="005C5EA9"/>
    <w:rsid w:val="005C77F0"/>
    <w:rsid w:val="005E49FF"/>
    <w:rsid w:val="0062463D"/>
    <w:rsid w:val="00643592"/>
    <w:rsid w:val="006676D2"/>
    <w:rsid w:val="00672A2A"/>
    <w:rsid w:val="00674623"/>
    <w:rsid w:val="0069111B"/>
    <w:rsid w:val="006919F3"/>
    <w:rsid w:val="00695047"/>
    <w:rsid w:val="00696702"/>
    <w:rsid w:val="006A0D11"/>
    <w:rsid w:val="006C2223"/>
    <w:rsid w:val="006C7224"/>
    <w:rsid w:val="006D7D81"/>
    <w:rsid w:val="006E3046"/>
    <w:rsid w:val="006E6A1B"/>
    <w:rsid w:val="006F5F71"/>
    <w:rsid w:val="00706CB6"/>
    <w:rsid w:val="0073510F"/>
    <w:rsid w:val="007477BE"/>
    <w:rsid w:val="007536C1"/>
    <w:rsid w:val="0075478F"/>
    <w:rsid w:val="00755761"/>
    <w:rsid w:val="0076572D"/>
    <w:rsid w:val="007707E2"/>
    <w:rsid w:val="0077668D"/>
    <w:rsid w:val="0077767B"/>
    <w:rsid w:val="0078339D"/>
    <w:rsid w:val="00793EBA"/>
    <w:rsid w:val="007B34B0"/>
    <w:rsid w:val="007B46ED"/>
    <w:rsid w:val="007B7928"/>
    <w:rsid w:val="007D1288"/>
    <w:rsid w:val="007E2F13"/>
    <w:rsid w:val="007E33ED"/>
    <w:rsid w:val="007E6713"/>
    <w:rsid w:val="007F52F1"/>
    <w:rsid w:val="007F7101"/>
    <w:rsid w:val="00806BA4"/>
    <w:rsid w:val="0082088E"/>
    <w:rsid w:val="00833BCB"/>
    <w:rsid w:val="00836A19"/>
    <w:rsid w:val="0084074F"/>
    <w:rsid w:val="0084104C"/>
    <w:rsid w:val="00841334"/>
    <w:rsid w:val="00842EF1"/>
    <w:rsid w:val="00851D1D"/>
    <w:rsid w:val="00856A0B"/>
    <w:rsid w:val="00857138"/>
    <w:rsid w:val="00860966"/>
    <w:rsid w:val="00861BB0"/>
    <w:rsid w:val="008640FB"/>
    <w:rsid w:val="008667D5"/>
    <w:rsid w:val="00870F0E"/>
    <w:rsid w:val="00880842"/>
    <w:rsid w:val="0088104F"/>
    <w:rsid w:val="008816B7"/>
    <w:rsid w:val="008838CC"/>
    <w:rsid w:val="00884232"/>
    <w:rsid w:val="008904C2"/>
    <w:rsid w:val="00892455"/>
    <w:rsid w:val="008A0202"/>
    <w:rsid w:val="008C3234"/>
    <w:rsid w:val="008C5123"/>
    <w:rsid w:val="008E3B92"/>
    <w:rsid w:val="008F0BA9"/>
    <w:rsid w:val="00902221"/>
    <w:rsid w:val="009029B5"/>
    <w:rsid w:val="009036EE"/>
    <w:rsid w:val="00904F4D"/>
    <w:rsid w:val="00915A24"/>
    <w:rsid w:val="00945C9E"/>
    <w:rsid w:val="00951860"/>
    <w:rsid w:val="00975B77"/>
    <w:rsid w:val="0099054F"/>
    <w:rsid w:val="009924C7"/>
    <w:rsid w:val="009A510E"/>
    <w:rsid w:val="009B3AA9"/>
    <w:rsid w:val="009B3AB9"/>
    <w:rsid w:val="009B406B"/>
    <w:rsid w:val="009E1472"/>
    <w:rsid w:val="009E43C9"/>
    <w:rsid w:val="009F1A30"/>
    <w:rsid w:val="009F60B0"/>
    <w:rsid w:val="00A000A2"/>
    <w:rsid w:val="00A106C0"/>
    <w:rsid w:val="00A22E9B"/>
    <w:rsid w:val="00A243AE"/>
    <w:rsid w:val="00A27313"/>
    <w:rsid w:val="00A527E6"/>
    <w:rsid w:val="00A54113"/>
    <w:rsid w:val="00A6025E"/>
    <w:rsid w:val="00A7368F"/>
    <w:rsid w:val="00A82C7E"/>
    <w:rsid w:val="00A84060"/>
    <w:rsid w:val="00A85155"/>
    <w:rsid w:val="00A9307C"/>
    <w:rsid w:val="00A9395D"/>
    <w:rsid w:val="00AB6C33"/>
    <w:rsid w:val="00AD3B71"/>
    <w:rsid w:val="00AD4D4C"/>
    <w:rsid w:val="00B01329"/>
    <w:rsid w:val="00B028B9"/>
    <w:rsid w:val="00B12BE4"/>
    <w:rsid w:val="00B229CD"/>
    <w:rsid w:val="00B43304"/>
    <w:rsid w:val="00B51B92"/>
    <w:rsid w:val="00B65021"/>
    <w:rsid w:val="00B91CA4"/>
    <w:rsid w:val="00B92C2F"/>
    <w:rsid w:val="00B94144"/>
    <w:rsid w:val="00BA1227"/>
    <w:rsid w:val="00BA66A6"/>
    <w:rsid w:val="00BC0F23"/>
    <w:rsid w:val="00BC6977"/>
    <w:rsid w:val="00BC7585"/>
    <w:rsid w:val="00BD6A3E"/>
    <w:rsid w:val="00BE3447"/>
    <w:rsid w:val="00BF4FA1"/>
    <w:rsid w:val="00C24674"/>
    <w:rsid w:val="00C261A5"/>
    <w:rsid w:val="00C50DEE"/>
    <w:rsid w:val="00C53A71"/>
    <w:rsid w:val="00C546AF"/>
    <w:rsid w:val="00CA3A97"/>
    <w:rsid w:val="00CB4EC3"/>
    <w:rsid w:val="00CD62A1"/>
    <w:rsid w:val="00CD6454"/>
    <w:rsid w:val="00CD7A81"/>
    <w:rsid w:val="00CE0868"/>
    <w:rsid w:val="00CE5A63"/>
    <w:rsid w:val="00CE7D61"/>
    <w:rsid w:val="00CF3396"/>
    <w:rsid w:val="00CF4003"/>
    <w:rsid w:val="00CF47E6"/>
    <w:rsid w:val="00D02529"/>
    <w:rsid w:val="00D028E9"/>
    <w:rsid w:val="00D0340B"/>
    <w:rsid w:val="00D104F6"/>
    <w:rsid w:val="00D22D09"/>
    <w:rsid w:val="00D314B5"/>
    <w:rsid w:val="00D40D80"/>
    <w:rsid w:val="00D56AB9"/>
    <w:rsid w:val="00D65C47"/>
    <w:rsid w:val="00D72220"/>
    <w:rsid w:val="00D776DB"/>
    <w:rsid w:val="00D81305"/>
    <w:rsid w:val="00D8305F"/>
    <w:rsid w:val="00D842D1"/>
    <w:rsid w:val="00D84F8F"/>
    <w:rsid w:val="00D9362C"/>
    <w:rsid w:val="00D9382A"/>
    <w:rsid w:val="00D9696F"/>
    <w:rsid w:val="00D96C48"/>
    <w:rsid w:val="00D9718D"/>
    <w:rsid w:val="00DB40A1"/>
    <w:rsid w:val="00DC33D0"/>
    <w:rsid w:val="00DD61F6"/>
    <w:rsid w:val="00DE2650"/>
    <w:rsid w:val="00DF25A2"/>
    <w:rsid w:val="00DF35BC"/>
    <w:rsid w:val="00DF5934"/>
    <w:rsid w:val="00DF5FCE"/>
    <w:rsid w:val="00DF7C40"/>
    <w:rsid w:val="00E000FC"/>
    <w:rsid w:val="00E023C1"/>
    <w:rsid w:val="00E17A93"/>
    <w:rsid w:val="00E26DE1"/>
    <w:rsid w:val="00E316F0"/>
    <w:rsid w:val="00E33044"/>
    <w:rsid w:val="00E45365"/>
    <w:rsid w:val="00E45790"/>
    <w:rsid w:val="00E57EF6"/>
    <w:rsid w:val="00E61FB4"/>
    <w:rsid w:val="00E6526E"/>
    <w:rsid w:val="00E726FD"/>
    <w:rsid w:val="00E77F7C"/>
    <w:rsid w:val="00EA0F60"/>
    <w:rsid w:val="00EA1E39"/>
    <w:rsid w:val="00EA4339"/>
    <w:rsid w:val="00EA4B2A"/>
    <w:rsid w:val="00EC5F89"/>
    <w:rsid w:val="00EE2607"/>
    <w:rsid w:val="00EF68DC"/>
    <w:rsid w:val="00F15B78"/>
    <w:rsid w:val="00F16CB4"/>
    <w:rsid w:val="00F22631"/>
    <w:rsid w:val="00F22E62"/>
    <w:rsid w:val="00F27A18"/>
    <w:rsid w:val="00F454FF"/>
    <w:rsid w:val="00F5772A"/>
    <w:rsid w:val="00F64B6E"/>
    <w:rsid w:val="00F70630"/>
    <w:rsid w:val="00F74A97"/>
    <w:rsid w:val="00F7633A"/>
    <w:rsid w:val="00F768C6"/>
    <w:rsid w:val="00F77CDD"/>
    <w:rsid w:val="00F85200"/>
    <w:rsid w:val="00F9631D"/>
    <w:rsid w:val="00FA47BB"/>
    <w:rsid w:val="00FA6E5E"/>
    <w:rsid w:val="00FB09AF"/>
    <w:rsid w:val="00FB54FD"/>
    <w:rsid w:val="00FF350D"/>
    <w:rsid w:val="00FF4DAC"/>
    <w:rsid w:val="02C92481"/>
    <w:rsid w:val="05986FCB"/>
    <w:rsid w:val="0EE3805B"/>
    <w:rsid w:val="144498A7"/>
    <w:rsid w:val="14651617"/>
    <w:rsid w:val="21575CEB"/>
    <w:rsid w:val="21889094"/>
    <w:rsid w:val="22CE2EA9"/>
    <w:rsid w:val="25703226"/>
    <w:rsid w:val="2605CF6B"/>
    <w:rsid w:val="2A29459A"/>
    <w:rsid w:val="2AF39E3D"/>
    <w:rsid w:val="2B3FE3DD"/>
    <w:rsid w:val="323C4505"/>
    <w:rsid w:val="3BE3274B"/>
    <w:rsid w:val="3E92091F"/>
    <w:rsid w:val="402DD980"/>
    <w:rsid w:val="409D7011"/>
    <w:rsid w:val="42394072"/>
    <w:rsid w:val="47B1E96A"/>
    <w:rsid w:val="490627EF"/>
    <w:rsid w:val="4A9B0F6B"/>
    <w:rsid w:val="4D302BFB"/>
    <w:rsid w:val="4F1FB100"/>
    <w:rsid w:val="4F2E7B7F"/>
    <w:rsid w:val="5343272F"/>
    <w:rsid w:val="5428C954"/>
    <w:rsid w:val="58C7F40C"/>
    <w:rsid w:val="5FDF69A5"/>
    <w:rsid w:val="71C2638B"/>
    <w:rsid w:val="72AE38F8"/>
    <w:rsid w:val="7695D4AE"/>
    <w:rsid w:val="785FAEA3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D209B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434A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434A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link w:val="Akapitzlist"/>
    <w:uiPriority w:val="1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uiPriority w:val="99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table" w:styleId="Tabela-Siatka">
    <w:name w:val="Table Grid"/>
    <w:basedOn w:val="Standardowy"/>
    <w:uiPriority w:val="39"/>
    <w:rsid w:val="00E457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E45790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E45790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40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40F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40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434A"/>
    <w:rPr>
      <w:rFonts w:asciiTheme="minorHAnsi" w:eastAsiaTheme="majorEastAsia" w:hAnsiTheme="minorHAnsi" w:cstheme="majorBidi"/>
      <w:b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D434A"/>
    <w:rPr>
      <w:rFonts w:asciiTheme="minorHAnsi" w:eastAsiaTheme="majorEastAsia" w:hAnsiTheme="minorHAnsi" w:cstheme="majorBidi"/>
      <w:b/>
      <w:color w:val="000000" w:themeColor="text1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bf0a0af3a5d8a7f869609d052bbb875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0bfab6387bcccf1504cf0c6a9138e8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44649-A5C5-448B-BED4-E1E9B7627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34056-E175-42D9-88A6-A1C436038A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A93B4246-B0E0-4370-BE89-1F50A02382E1}">
  <ds:schemaRefs>
    <ds:schemaRef ds:uri="d47a4560-aee9-43e8-973f-2abd655c26a0"/>
    <ds:schemaRef ds:uri="http://purl.org/dc/elements/1.1/"/>
    <ds:schemaRef ds:uri="http://schemas.microsoft.com/office/2006/metadata/properties"/>
    <ds:schemaRef ds:uri="http://schemas.microsoft.com/office/2006/documentManagement/types"/>
    <ds:schemaRef ds:uri="d4f64a22-a125-4b7a-afce-4a30c86a8f7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54</Pages>
  <Words>5111</Words>
  <Characters>30670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projektów FE SL 2021-2027 Działanie 10.04. Wsparcie dużych przedsiębiorstw na rzecz transformacji</vt:lpstr>
    </vt:vector>
  </TitlesOfParts>
  <Company/>
  <LinksUpToDate>false</LinksUpToDate>
  <CharactersWithSpaces>35710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projektów FE SL 2021-2027 Działanie 10.04. Wsparcie dużych przedsiębiorstw na rzecz transformacji</dc:title>
  <dc:subject/>
  <dc:creator>Woźniak Anna</dc:creator>
  <cp:keywords/>
  <cp:lastModifiedBy>PS</cp:lastModifiedBy>
  <cp:revision>3</cp:revision>
  <cp:lastPrinted>2022-04-15T07:22:00Z</cp:lastPrinted>
  <dcterms:created xsi:type="dcterms:W3CDTF">2023-03-29T10:16:00Z</dcterms:created>
  <dcterms:modified xsi:type="dcterms:W3CDTF">2023-03-30T10:33:00Z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